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21" w:rsidRDefault="00EA282E" w:rsidP="00322C4C">
      <w:pPr>
        <w:pStyle w:val="1"/>
        <w:spacing w:before="0" w:line="240" w:lineRule="auto"/>
        <w:ind w:firstLine="0"/>
        <w:jc w:val="center"/>
      </w:pPr>
      <w:bookmarkStart w:id="0" w:name="_Toc450791476"/>
      <w:r>
        <w:t>ИСПОЛЬЗОВАНИЕ ВНУТРЕННИХ БАНКОВСКИХ РЕЙТИНГОВ КАК ФАКТОР ФОРМИРОВАНИЯ ЕВРАЗИЙСКОГО ФИНАНСОВОГО РЫНКА</w:t>
      </w:r>
      <w:bookmarkEnd w:id="0"/>
    </w:p>
    <w:p w:rsidR="00141971" w:rsidRPr="00B967B8" w:rsidRDefault="00141971" w:rsidP="00D418CC">
      <w:pPr>
        <w:spacing w:after="0" w:line="240" w:lineRule="auto"/>
        <w:jc w:val="right"/>
        <w:rPr>
          <w:rFonts w:cs="Times New Roman"/>
          <w:b/>
        </w:rPr>
      </w:pPr>
      <w:r w:rsidRPr="00B967B8">
        <w:rPr>
          <w:rFonts w:cs="Times New Roman"/>
          <w:b/>
        </w:rPr>
        <w:t>А. В. Казанский</w:t>
      </w:r>
    </w:p>
    <w:p w:rsidR="00141971" w:rsidRPr="00B967B8" w:rsidRDefault="00141971" w:rsidP="00D418CC">
      <w:pPr>
        <w:spacing w:after="0" w:line="240" w:lineRule="auto"/>
        <w:jc w:val="right"/>
        <w:rPr>
          <w:rFonts w:cs="Times New Roman"/>
          <w:szCs w:val="24"/>
        </w:rPr>
      </w:pPr>
      <w:r w:rsidRPr="00B967B8">
        <w:rPr>
          <w:rFonts w:cs="Times New Roman"/>
          <w:szCs w:val="24"/>
        </w:rPr>
        <w:t xml:space="preserve">кандидат экономических наук, </w:t>
      </w:r>
    </w:p>
    <w:p w:rsidR="00141971" w:rsidRPr="00B967B8" w:rsidRDefault="00141971" w:rsidP="00D418CC">
      <w:pPr>
        <w:spacing w:after="0" w:line="240" w:lineRule="auto"/>
        <w:jc w:val="right"/>
        <w:rPr>
          <w:rFonts w:cs="Times New Roman"/>
          <w:szCs w:val="24"/>
        </w:rPr>
      </w:pPr>
      <w:r w:rsidRPr="00B967B8">
        <w:rPr>
          <w:rFonts w:cs="Times New Roman"/>
          <w:szCs w:val="24"/>
        </w:rPr>
        <w:t xml:space="preserve">доцент кафедры теории кредита и финансового менеджмента </w:t>
      </w:r>
    </w:p>
    <w:p w:rsidR="00141971" w:rsidRPr="00B967B8" w:rsidRDefault="00141971" w:rsidP="00D418CC">
      <w:pPr>
        <w:autoSpaceDE w:val="0"/>
        <w:autoSpaceDN w:val="0"/>
        <w:adjustRightInd w:val="0"/>
        <w:spacing w:after="0" w:line="240" w:lineRule="auto"/>
        <w:jc w:val="right"/>
        <w:rPr>
          <w:rFonts w:cs="Times New Roman"/>
          <w:szCs w:val="24"/>
        </w:rPr>
      </w:pPr>
      <w:r w:rsidRPr="00B967B8">
        <w:rPr>
          <w:rFonts w:cs="Times New Roman"/>
          <w:szCs w:val="24"/>
        </w:rPr>
        <w:t xml:space="preserve">экономического факультета, </w:t>
      </w:r>
    </w:p>
    <w:p w:rsidR="00141971" w:rsidRPr="00B967B8" w:rsidRDefault="00141971" w:rsidP="00D418CC">
      <w:pPr>
        <w:autoSpaceDE w:val="0"/>
        <w:autoSpaceDN w:val="0"/>
        <w:adjustRightInd w:val="0"/>
        <w:spacing w:after="0" w:line="240" w:lineRule="auto"/>
        <w:jc w:val="right"/>
        <w:rPr>
          <w:rFonts w:cs="Times New Roman"/>
          <w:szCs w:val="24"/>
        </w:rPr>
      </w:pPr>
      <w:r w:rsidRPr="00B967B8">
        <w:rPr>
          <w:rFonts w:cs="Times New Roman"/>
          <w:szCs w:val="24"/>
          <w:lang w:eastAsia="ru-RU"/>
        </w:rPr>
        <w:t>Санкт-Петербургский государственный университет</w:t>
      </w:r>
    </w:p>
    <w:p w:rsidR="00141971" w:rsidRPr="00EA282E" w:rsidRDefault="00EA282E" w:rsidP="009E2FCD">
      <w:pPr>
        <w:spacing w:after="0" w:line="240" w:lineRule="auto"/>
        <w:ind w:left="4956" w:firstLine="6"/>
        <w:jc w:val="right"/>
        <w:rPr>
          <w:rFonts w:cs="Times New Roman"/>
          <w:color w:val="111111"/>
          <w:lang w:val="en-US"/>
        </w:rPr>
      </w:pPr>
      <w:r>
        <w:rPr>
          <w:rFonts w:cs="Times New Roman"/>
          <w:color w:val="111111"/>
          <w:lang w:val="en-US"/>
        </w:rPr>
        <w:t>Alexander.kazansky97@gmail.com</w:t>
      </w:r>
    </w:p>
    <w:p w:rsidR="00D35ED1" w:rsidRPr="00B967B8" w:rsidRDefault="00D35ED1" w:rsidP="00D418CC">
      <w:pPr>
        <w:spacing w:after="0" w:line="240" w:lineRule="auto"/>
        <w:rPr>
          <w:rFonts w:cs="Times New Roman"/>
          <w:color w:val="111111"/>
        </w:rPr>
      </w:pPr>
    </w:p>
    <w:p w:rsidR="00141971" w:rsidRPr="00B967B8" w:rsidRDefault="00141971" w:rsidP="00D418CC">
      <w:pPr>
        <w:spacing w:after="0" w:line="240" w:lineRule="auto"/>
        <w:jc w:val="both"/>
        <w:rPr>
          <w:rFonts w:cs="Times New Roman"/>
        </w:rPr>
      </w:pPr>
      <w:r w:rsidRPr="00B967B8">
        <w:rPr>
          <w:rFonts w:cs="Times New Roman"/>
          <w:color w:val="111111"/>
        </w:rPr>
        <w:t xml:space="preserve">В статье дан анализ теоретических основ построения рейтинговых систем коммерческих банков, принятых в международной практике </w:t>
      </w:r>
      <w:proofErr w:type="spellStart"/>
      <w:r w:rsidRPr="00B967B8">
        <w:rPr>
          <w:rFonts w:cs="Times New Roman"/>
          <w:color w:val="111111"/>
        </w:rPr>
        <w:t>базельских</w:t>
      </w:r>
      <w:proofErr w:type="spellEnd"/>
      <w:r w:rsidRPr="00B967B8">
        <w:rPr>
          <w:rFonts w:cs="Times New Roman"/>
          <w:color w:val="111111"/>
        </w:rPr>
        <w:t xml:space="preserve"> стандартов. Охарактеризованы как простейшие построения внутренних рейтингов, так и более сложные механизмы рейтинговых оценок, основанных на вероятности дефолта и количественных и качественных показателях деятельности корпоративного клиента Особое внимание уделено модификации на основе внутренних рейтингов систем классификации резервов на возможные потери по ссудам и коэффициентов риска, влияющих на расчет достаточности капитала (норматив ЦБ РФ Н</w:t>
      </w:r>
      <w:proofErr w:type="gramStart"/>
      <w:r w:rsidRPr="00B967B8">
        <w:rPr>
          <w:rFonts w:cs="Times New Roman"/>
          <w:color w:val="111111"/>
        </w:rPr>
        <w:t>1</w:t>
      </w:r>
      <w:proofErr w:type="gramEnd"/>
      <w:r w:rsidRPr="00B967B8">
        <w:rPr>
          <w:rFonts w:cs="Times New Roman"/>
          <w:color w:val="111111"/>
        </w:rPr>
        <w:t>).  Немаловажной частью исследования является также рассмотрение процесса перехода на систему внутренних рейтингов,</w:t>
      </w:r>
      <w:r w:rsidRPr="00B967B8">
        <w:rPr>
          <w:rFonts w:cs="Times New Roman"/>
        </w:rPr>
        <w:t xml:space="preserve"> сопряженных со значительными временными и финансовыми затратами. </w:t>
      </w:r>
    </w:p>
    <w:p w:rsidR="00141971" w:rsidRPr="00B967B8" w:rsidRDefault="00141971" w:rsidP="00D418CC">
      <w:pPr>
        <w:spacing w:after="0" w:line="240" w:lineRule="auto"/>
        <w:rPr>
          <w:rFonts w:cs="Times New Roman"/>
        </w:rPr>
      </w:pPr>
      <w:r w:rsidRPr="00B967B8">
        <w:rPr>
          <w:rFonts w:cs="Times New Roman"/>
        </w:rPr>
        <w:tab/>
      </w:r>
    </w:p>
    <w:p w:rsidR="00141971" w:rsidRPr="00B967B8" w:rsidRDefault="00141971" w:rsidP="00D418CC">
      <w:pPr>
        <w:spacing w:after="0" w:line="240" w:lineRule="auto"/>
        <w:jc w:val="both"/>
        <w:rPr>
          <w:rFonts w:cs="Times New Roman"/>
        </w:rPr>
      </w:pPr>
      <w:r w:rsidRPr="00B967B8">
        <w:rPr>
          <w:rFonts w:cs="Times New Roman"/>
          <w:b/>
          <w:bCs/>
        </w:rPr>
        <w:t xml:space="preserve">Ключевые слова: </w:t>
      </w:r>
      <w:proofErr w:type="spellStart"/>
      <w:r w:rsidRPr="00B967B8">
        <w:rPr>
          <w:rFonts w:cs="Times New Roman"/>
          <w:bCs/>
        </w:rPr>
        <w:t>Базельские</w:t>
      </w:r>
      <w:proofErr w:type="spellEnd"/>
      <w:r w:rsidRPr="00B967B8">
        <w:rPr>
          <w:rFonts w:cs="Times New Roman"/>
          <w:bCs/>
        </w:rPr>
        <w:t xml:space="preserve"> стандарты, капитал первого уровня, достаточность капитала, риск дефолта, внутренние рейтинги, резервы на возможные потери по ссудам, коэффициенты риска, стресс-тестирование, расчет величины кредитного риска, коэффициенты обслуживания долга, рейтинговая шкала, предварительная </w:t>
      </w:r>
      <w:proofErr w:type="spellStart"/>
      <w:r w:rsidRPr="00B967B8">
        <w:rPr>
          <w:rFonts w:cs="Times New Roman"/>
          <w:bCs/>
        </w:rPr>
        <w:t>валидация</w:t>
      </w:r>
      <w:proofErr w:type="spellEnd"/>
      <w:r w:rsidRPr="00B967B8">
        <w:rPr>
          <w:rFonts w:cs="Times New Roman"/>
          <w:bCs/>
        </w:rPr>
        <w:t>, дискриминационная способность модели</w:t>
      </w:r>
    </w:p>
    <w:p w:rsidR="00141971" w:rsidRPr="00B967B8" w:rsidRDefault="00141971" w:rsidP="00D418CC">
      <w:pPr>
        <w:spacing w:after="0" w:line="240" w:lineRule="auto"/>
        <w:rPr>
          <w:rFonts w:cs="Times New Roman"/>
        </w:rPr>
      </w:pPr>
      <w:r w:rsidRPr="00B967B8">
        <w:rPr>
          <w:rFonts w:cs="Times New Roman"/>
        </w:rPr>
        <w:tab/>
      </w:r>
      <w:r w:rsidRPr="00B967B8">
        <w:rPr>
          <w:rFonts w:cs="Times New Roman"/>
        </w:rPr>
        <w:tab/>
      </w:r>
    </w:p>
    <w:p w:rsidR="00F11F21" w:rsidRPr="00B967B8" w:rsidRDefault="00F11F21" w:rsidP="00B967B8">
      <w:pPr>
        <w:spacing w:after="0" w:line="276" w:lineRule="auto"/>
        <w:ind w:firstLine="708"/>
        <w:jc w:val="both"/>
        <w:rPr>
          <w:rFonts w:cs="Times New Roman"/>
        </w:rPr>
      </w:pPr>
      <w:r w:rsidRPr="00B967B8">
        <w:rPr>
          <w:rFonts w:cs="Times New Roman"/>
        </w:rPr>
        <w:t>Рейтинговая система – это совокупность методов, процедур, систем контроля, сбора статистической информации и информационно-технологических систем, используемых банком для оценки кредитного риска, распределения кредитных требований по разрядам рейтинговой шкалы данной системы, количественной оценки риска дефолта и фактически понесенных потерь по классам кредитных требований. Банк может использовать несколько рейтинговых систем и сам решает, какие кредитные требования к какой рейтинговой системе относить</w:t>
      </w:r>
      <w:r w:rsidR="003D0E1A" w:rsidRPr="00B967B8">
        <w:rPr>
          <w:rFonts w:cs="Times New Roman"/>
        </w:rPr>
        <w:t xml:space="preserve"> [9]</w:t>
      </w:r>
      <w:r w:rsidRPr="00B967B8">
        <w:rPr>
          <w:rFonts w:cs="Times New Roman"/>
        </w:rPr>
        <w:t xml:space="preserve">. </w:t>
      </w:r>
    </w:p>
    <w:p w:rsidR="00F11F21" w:rsidRPr="00EA282E" w:rsidRDefault="00F11F21" w:rsidP="00B967B8">
      <w:pPr>
        <w:spacing w:after="0" w:line="276" w:lineRule="auto"/>
        <w:jc w:val="both"/>
        <w:rPr>
          <w:rFonts w:cs="Times New Roman"/>
        </w:rPr>
      </w:pPr>
      <w:r w:rsidRPr="00B967B8">
        <w:rPr>
          <w:rFonts w:cs="Times New Roman"/>
        </w:rPr>
        <w:t xml:space="preserve">Системы внутренних </w:t>
      </w:r>
      <w:r w:rsidR="005456DF" w:rsidRPr="00B967B8">
        <w:rPr>
          <w:rFonts w:cs="Times New Roman"/>
        </w:rPr>
        <w:t xml:space="preserve">рейтинговых моделей служат для </w:t>
      </w:r>
      <w:r w:rsidRPr="00B967B8">
        <w:rPr>
          <w:rFonts w:cs="Times New Roman"/>
        </w:rPr>
        <w:t>учета кредитного риска заемщика и кредитного риска финансового инструмента. В их рамках рассматривается только кредитный риск, связанный с заемщиком.</w:t>
      </w:r>
      <w:r w:rsidR="00EA282E" w:rsidRPr="00EA282E">
        <w:rPr>
          <w:rFonts w:cs="Times New Roman"/>
        </w:rPr>
        <w:t xml:space="preserve"> </w:t>
      </w:r>
    </w:p>
    <w:p w:rsidR="00F11F21" w:rsidRDefault="00EA282E" w:rsidP="00EA282E">
      <w:pPr>
        <w:spacing w:after="0" w:line="276" w:lineRule="auto"/>
        <w:jc w:val="both"/>
      </w:pPr>
      <w:r>
        <w:rPr>
          <w:rFonts w:cs="Times New Roman"/>
        </w:rPr>
        <w:t xml:space="preserve">Использование внутренних банковских рейтингов снижает уровень приемлемого банком риска, что положительно сказывается на способности банка кредитовать субъекты хозяйственной деятельности и, тем самым, способствовать развитию финансового рынка России в частности и Евразийского сообщества в целом </w:t>
      </w:r>
    </w:p>
    <w:p w:rsidR="00F11F21" w:rsidRDefault="00F11F21" w:rsidP="00B967B8">
      <w:pPr>
        <w:spacing w:after="0" w:line="276" w:lineRule="auto"/>
        <w:jc w:val="both"/>
      </w:pPr>
      <w:r>
        <w:t>С точки зрения автора, внутренние рейтинги можно использовать для следующих процессов:</w:t>
      </w:r>
    </w:p>
    <w:p w:rsidR="00F11F21" w:rsidRDefault="00F11F21" w:rsidP="00B967B8">
      <w:pPr>
        <w:pStyle w:val="a3"/>
        <w:numPr>
          <w:ilvl w:val="0"/>
          <w:numId w:val="6"/>
        </w:numPr>
        <w:tabs>
          <w:tab w:val="left" w:pos="993"/>
        </w:tabs>
        <w:spacing w:after="0" w:line="276" w:lineRule="auto"/>
        <w:ind w:left="0" w:firstLine="709"/>
        <w:jc w:val="both"/>
      </w:pPr>
      <w:r>
        <w:t>Установление лимитов кредитования, основанных на рейтинге заемщика. Например, предоставлять некрупные суммы заемщикам с низким рейтингом, тем самым избежав концентрации кредитного риска.</w:t>
      </w:r>
    </w:p>
    <w:p w:rsidR="00F11F21" w:rsidRPr="005056C2" w:rsidRDefault="00F11F21" w:rsidP="00B967B8">
      <w:pPr>
        <w:pStyle w:val="a3"/>
        <w:numPr>
          <w:ilvl w:val="0"/>
          <w:numId w:val="6"/>
        </w:numPr>
        <w:tabs>
          <w:tab w:val="left" w:pos="993"/>
        </w:tabs>
        <w:spacing w:after="0" w:line="276" w:lineRule="auto"/>
        <w:ind w:left="0" w:firstLine="709"/>
        <w:jc w:val="both"/>
      </w:pPr>
      <w:r>
        <w:t>Использование рейтингов при принятии решения о выдаче кредита.</w:t>
      </w:r>
    </w:p>
    <w:p w:rsidR="00F11F21" w:rsidRPr="005056C2" w:rsidRDefault="00F11F21" w:rsidP="00B967B8">
      <w:pPr>
        <w:pStyle w:val="a3"/>
        <w:numPr>
          <w:ilvl w:val="0"/>
          <w:numId w:val="6"/>
        </w:numPr>
        <w:tabs>
          <w:tab w:val="left" w:pos="993"/>
        </w:tabs>
        <w:spacing w:after="0" w:line="276" w:lineRule="auto"/>
        <w:ind w:left="0" w:firstLine="709"/>
        <w:jc w:val="both"/>
      </w:pPr>
      <w:r>
        <w:lastRenderedPageBreak/>
        <w:t>Упрощение процесса рассмотрения кредита для заемщиков с высоким рейтингом.</w:t>
      </w:r>
      <w:bookmarkStart w:id="1" w:name="_GoBack"/>
      <w:bookmarkEnd w:id="1"/>
    </w:p>
    <w:p w:rsidR="00F11F21" w:rsidRDefault="00F11F21" w:rsidP="00B967B8">
      <w:pPr>
        <w:pStyle w:val="a3"/>
        <w:numPr>
          <w:ilvl w:val="0"/>
          <w:numId w:val="6"/>
        </w:numPr>
        <w:tabs>
          <w:tab w:val="left" w:pos="993"/>
        </w:tabs>
        <w:spacing w:after="0" w:line="276" w:lineRule="auto"/>
        <w:ind w:left="0" w:firstLine="709"/>
        <w:jc w:val="both"/>
      </w:pPr>
      <w:r>
        <w:t xml:space="preserve">Тщательный мониторинг заемщиков с низким рейтингом. </w:t>
      </w:r>
    </w:p>
    <w:p w:rsidR="00F11F21" w:rsidRDefault="00F11F21" w:rsidP="00B967B8">
      <w:pPr>
        <w:pStyle w:val="a3"/>
        <w:numPr>
          <w:ilvl w:val="0"/>
          <w:numId w:val="6"/>
        </w:numPr>
        <w:tabs>
          <w:tab w:val="left" w:pos="993"/>
        </w:tabs>
        <w:spacing w:after="0" w:line="276" w:lineRule="auto"/>
        <w:ind w:left="0" w:firstLine="709"/>
        <w:jc w:val="both"/>
      </w:pPr>
      <w:r>
        <w:t>Мониторинг общего кредитного портфеля.</w:t>
      </w:r>
    </w:p>
    <w:p w:rsidR="00F11F21" w:rsidRDefault="00F11F21" w:rsidP="00B967B8">
      <w:pPr>
        <w:pStyle w:val="a3"/>
        <w:numPr>
          <w:ilvl w:val="0"/>
          <w:numId w:val="6"/>
        </w:numPr>
        <w:tabs>
          <w:tab w:val="left" w:pos="993"/>
        </w:tabs>
        <w:spacing w:after="0" w:line="276" w:lineRule="auto"/>
        <w:ind w:left="0" w:firstLine="709"/>
        <w:jc w:val="both"/>
      </w:pPr>
      <w:r>
        <w:t>Ценообразование. Изменение процентных ставок в зависимости от рейтинга заемщика (добавление кредитного спрэда на основе рейтинга)</w:t>
      </w:r>
      <w:r w:rsidR="00D418CC">
        <w:t>.</w:t>
      </w:r>
    </w:p>
    <w:p w:rsidR="00F11F21" w:rsidRDefault="00F11F21" w:rsidP="00B967B8">
      <w:pPr>
        <w:pStyle w:val="a3"/>
        <w:numPr>
          <w:ilvl w:val="0"/>
          <w:numId w:val="6"/>
        </w:numPr>
        <w:tabs>
          <w:tab w:val="left" w:pos="993"/>
        </w:tabs>
        <w:spacing w:after="0" w:line="276" w:lineRule="auto"/>
        <w:ind w:left="0" w:firstLine="709"/>
        <w:jc w:val="both"/>
      </w:pPr>
      <w:r>
        <w:t>Оценка экономической стоимости кредита (оценка дисконтированного денежного потока с учетом будущих кредитных издержек).</w:t>
      </w:r>
    </w:p>
    <w:p w:rsidR="00F11F21" w:rsidRDefault="00F11F21" w:rsidP="00B967B8">
      <w:pPr>
        <w:pStyle w:val="a3"/>
        <w:numPr>
          <w:ilvl w:val="0"/>
          <w:numId w:val="6"/>
        </w:numPr>
        <w:tabs>
          <w:tab w:val="left" w:pos="993"/>
        </w:tabs>
        <w:spacing w:after="0" w:line="276" w:lineRule="auto"/>
        <w:ind w:left="0" w:firstLine="709"/>
        <w:jc w:val="both"/>
      </w:pPr>
      <w:r>
        <w:t>Резервирование. Создание резе</w:t>
      </w:r>
      <w:r w:rsidR="00D418CC">
        <w:t>рвов с учетом ожидаемых убытков, и</w:t>
      </w:r>
      <w:r>
        <w:t xml:space="preserve"> др.</w:t>
      </w:r>
    </w:p>
    <w:p w:rsidR="00F11F21" w:rsidRDefault="00EA282E" w:rsidP="00B967B8">
      <w:pPr>
        <w:spacing w:after="0" w:line="276" w:lineRule="auto"/>
        <w:jc w:val="both"/>
      </w:pPr>
      <w:r>
        <w:t xml:space="preserve"> </w:t>
      </w:r>
    </w:p>
    <w:p w:rsidR="00F11F21" w:rsidRDefault="00F11F21" w:rsidP="00B967B8">
      <w:pPr>
        <w:spacing w:after="0" w:line="276" w:lineRule="auto"/>
        <w:jc w:val="both"/>
      </w:pPr>
      <w:r>
        <w:t xml:space="preserve">Естественно, существует ряд проблем, связанных с переходом на внутренние рейтинги. В первую очередь – это недостаточность накопленной статистической информации. </w:t>
      </w:r>
      <w:r w:rsidR="00EA282E">
        <w:t xml:space="preserve"> </w:t>
      </w:r>
    </w:p>
    <w:p w:rsidR="00F11F21" w:rsidRDefault="00F11F21" w:rsidP="00B967B8">
      <w:pPr>
        <w:spacing w:after="0" w:line="276" w:lineRule="auto"/>
        <w:jc w:val="both"/>
      </w:pPr>
      <w:r>
        <w:t xml:space="preserve">Второй проблемой является сам процесс перехода, так как он сопряжен со значительными временными и финансовыми затратами. </w:t>
      </w:r>
      <w:r w:rsidR="00EA282E">
        <w:t xml:space="preserve"> </w:t>
      </w:r>
      <w:r>
        <w:t xml:space="preserve"> </w:t>
      </w:r>
    </w:p>
    <w:p w:rsidR="00F11F21" w:rsidRDefault="00F11F21" w:rsidP="00B967B8">
      <w:pPr>
        <w:spacing w:after="0" w:line="276" w:lineRule="auto"/>
        <w:jc w:val="both"/>
      </w:pPr>
      <w:r>
        <w:t>Третьей проблемой можно назвать отсутствие опыта банков по использованию комплексных систем оценки рисков.</w:t>
      </w:r>
      <w:r w:rsidR="00EA282E">
        <w:t xml:space="preserve"> </w:t>
      </w:r>
      <w:r>
        <w:t xml:space="preserve">Для перехода на ПВР банкам потребуются высококвалифицированные специалисты с международным опытом внедрения таких систем. </w:t>
      </w:r>
    </w:p>
    <w:p w:rsidR="00141971" w:rsidRPr="00737856" w:rsidRDefault="005456DF" w:rsidP="00B967B8">
      <w:pPr>
        <w:spacing w:after="0" w:line="276" w:lineRule="auto"/>
        <w:jc w:val="both"/>
        <w:rPr>
          <w:b/>
        </w:rPr>
      </w:pPr>
      <w:r>
        <w:t xml:space="preserve">В любом случае, переход на систему внутренних рейтингов – это данность для одних банков и безусловные требования для других. Определение коэффициентов риска и необходимого уровня резервов на основе рейтингов позволит коммерческим банкам снизить нагрузку на капитал, дифференцировать расчет указанных показателей в зависимости от качества заемщика и, в конечном итоге, сделать более прозрачной систему </w:t>
      </w:r>
      <w:proofErr w:type="gramStart"/>
      <w:r>
        <w:t>риск-менеджмента</w:t>
      </w:r>
      <w:proofErr w:type="gramEnd"/>
      <w:r w:rsidR="00E55337">
        <w:t>, что положительно отразится на развитие российский и евразийских финансовых рынков в целом</w:t>
      </w:r>
      <w:r w:rsidR="003D0E1A" w:rsidRPr="003D0E1A">
        <w:t xml:space="preserve"> </w:t>
      </w:r>
    </w:p>
    <w:p w:rsidR="00B967B8" w:rsidRDefault="00B967B8" w:rsidP="00737856">
      <w:pPr>
        <w:spacing w:after="0" w:line="276" w:lineRule="auto"/>
        <w:jc w:val="center"/>
        <w:rPr>
          <w:b/>
          <w:szCs w:val="24"/>
        </w:rPr>
      </w:pPr>
    </w:p>
    <w:p w:rsidR="00737856" w:rsidRPr="00994B77" w:rsidRDefault="00737856" w:rsidP="00737856">
      <w:pPr>
        <w:spacing w:after="0" w:line="276" w:lineRule="auto"/>
        <w:jc w:val="center"/>
        <w:rPr>
          <w:b/>
          <w:szCs w:val="24"/>
        </w:rPr>
      </w:pPr>
      <w:r w:rsidRPr="00994B77">
        <w:rPr>
          <w:b/>
          <w:szCs w:val="24"/>
        </w:rPr>
        <w:t>СПИСОК ЛИТЕРАТУРЫ</w:t>
      </w:r>
    </w:p>
    <w:p w:rsidR="00737856" w:rsidRPr="00E55F10" w:rsidRDefault="00737856" w:rsidP="00B967B8">
      <w:pPr>
        <w:pStyle w:val="23"/>
        <w:numPr>
          <w:ilvl w:val="0"/>
          <w:numId w:val="14"/>
        </w:numPr>
        <w:tabs>
          <w:tab w:val="left" w:pos="0"/>
          <w:tab w:val="left" w:pos="426"/>
        </w:tabs>
        <w:spacing w:after="0" w:line="276" w:lineRule="auto"/>
        <w:ind w:left="0" w:firstLine="0"/>
        <w:jc w:val="both"/>
        <w:rPr>
          <w:rFonts w:ascii="Times New Roman" w:hAnsi="Times New Roman"/>
          <w:sz w:val="24"/>
          <w:szCs w:val="24"/>
        </w:rPr>
      </w:pPr>
      <w:r w:rsidRPr="00E55F10">
        <w:rPr>
          <w:rFonts w:ascii="Times New Roman" w:hAnsi="Times New Roman"/>
          <w:sz w:val="24"/>
          <w:szCs w:val="24"/>
        </w:rPr>
        <w:t xml:space="preserve">Закон РФ «О банках и банковской деятельности» </w:t>
      </w:r>
      <w:r>
        <w:rPr>
          <w:rFonts w:ascii="Times New Roman" w:hAnsi="Times New Roman"/>
          <w:sz w:val="24"/>
          <w:szCs w:val="24"/>
        </w:rPr>
        <w:t>№</w:t>
      </w:r>
      <w:r w:rsidRPr="00E55F10">
        <w:rPr>
          <w:rFonts w:ascii="Times New Roman" w:hAnsi="Times New Roman"/>
          <w:sz w:val="24"/>
          <w:szCs w:val="24"/>
        </w:rPr>
        <w:t xml:space="preserve"> 17-ФЗ от 03.02.1996</w:t>
      </w:r>
    </w:p>
    <w:p w:rsidR="00737856" w:rsidRPr="00E55F10" w:rsidRDefault="00737856" w:rsidP="00B967B8">
      <w:pPr>
        <w:pStyle w:val="23"/>
        <w:numPr>
          <w:ilvl w:val="0"/>
          <w:numId w:val="14"/>
        </w:numPr>
        <w:tabs>
          <w:tab w:val="left" w:pos="0"/>
          <w:tab w:val="left" w:pos="426"/>
        </w:tabs>
        <w:spacing w:after="0" w:line="276" w:lineRule="auto"/>
        <w:ind w:left="0" w:firstLine="0"/>
        <w:jc w:val="both"/>
        <w:rPr>
          <w:rFonts w:ascii="Times New Roman" w:hAnsi="Times New Roman"/>
          <w:sz w:val="24"/>
          <w:szCs w:val="24"/>
        </w:rPr>
      </w:pPr>
      <w:r w:rsidRPr="00E55F10">
        <w:rPr>
          <w:rFonts w:ascii="Times New Roman" w:hAnsi="Times New Roman"/>
          <w:sz w:val="24"/>
          <w:szCs w:val="24"/>
        </w:rPr>
        <w:t xml:space="preserve">Закон РФ «О центральном банке» </w:t>
      </w:r>
      <w:r>
        <w:rPr>
          <w:rFonts w:ascii="Times New Roman" w:hAnsi="Times New Roman"/>
          <w:sz w:val="24"/>
          <w:szCs w:val="24"/>
        </w:rPr>
        <w:t>№</w:t>
      </w:r>
      <w:r w:rsidRPr="00E55F10">
        <w:rPr>
          <w:rFonts w:ascii="Times New Roman" w:hAnsi="Times New Roman"/>
          <w:sz w:val="24"/>
          <w:szCs w:val="24"/>
        </w:rPr>
        <w:t xml:space="preserve"> 86-ФЗ от 10.07.2002</w:t>
      </w:r>
    </w:p>
    <w:p w:rsidR="00737856" w:rsidRPr="00E55F10" w:rsidRDefault="00737856" w:rsidP="00B967B8">
      <w:pPr>
        <w:pStyle w:val="23"/>
        <w:numPr>
          <w:ilvl w:val="0"/>
          <w:numId w:val="14"/>
        </w:numPr>
        <w:tabs>
          <w:tab w:val="left" w:pos="0"/>
          <w:tab w:val="left" w:pos="426"/>
        </w:tabs>
        <w:spacing w:after="0" w:line="276" w:lineRule="auto"/>
        <w:ind w:left="0" w:firstLine="0"/>
        <w:jc w:val="both"/>
        <w:rPr>
          <w:rFonts w:ascii="Times New Roman" w:hAnsi="Times New Roman"/>
          <w:sz w:val="24"/>
          <w:szCs w:val="24"/>
        </w:rPr>
      </w:pPr>
      <w:r w:rsidRPr="00E55F10">
        <w:rPr>
          <w:rFonts w:ascii="Times New Roman" w:hAnsi="Times New Roman"/>
          <w:sz w:val="24"/>
          <w:szCs w:val="24"/>
        </w:rPr>
        <w:t xml:space="preserve">Закон РФ «О потребительском кредите (займе)» </w:t>
      </w:r>
      <w:r>
        <w:rPr>
          <w:rFonts w:ascii="Times New Roman" w:hAnsi="Times New Roman"/>
          <w:sz w:val="24"/>
          <w:szCs w:val="24"/>
        </w:rPr>
        <w:t>№</w:t>
      </w:r>
      <w:r w:rsidRPr="00E55F10">
        <w:rPr>
          <w:rFonts w:ascii="Times New Roman" w:hAnsi="Times New Roman"/>
          <w:sz w:val="24"/>
          <w:szCs w:val="24"/>
        </w:rPr>
        <w:t xml:space="preserve"> 353-ФЗ от 01.07.2014</w:t>
      </w:r>
    </w:p>
    <w:p w:rsidR="00737856" w:rsidRPr="00E55F10" w:rsidRDefault="00737856" w:rsidP="00B967B8">
      <w:pPr>
        <w:pStyle w:val="23"/>
        <w:numPr>
          <w:ilvl w:val="0"/>
          <w:numId w:val="14"/>
        </w:numPr>
        <w:tabs>
          <w:tab w:val="left" w:pos="0"/>
          <w:tab w:val="left" w:pos="426"/>
        </w:tabs>
        <w:spacing w:after="0" w:line="276" w:lineRule="auto"/>
        <w:ind w:left="0" w:firstLine="0"/>
        <w:jc w:val="both"/>
        <w:rPr>
          <w:rFonts w:ascii="Times New Roman" w:hAnsi="Times New Roman"/>
          <w:sz w:val="24"/>
          <w:szCs w:val="24"/>
        </w:rPr>
      </w:pPr>
      <w:r w:rsidRPr="00E55F10">
        <w:rPr>
          <w:rFonts w:ascii="Times New Roman" w:hAnsi="Times New Roman"/>
          <w:sz w:val="24"/>
          <w:szCs w:val="24"/>
        </w:rPr>
        <w:t>Закон РФ «О противодействии легализации (отмыванию) доходов, полученных преступным путем и финансированию терроризма»</w:t>
      </w:r>
      <w:r>
        <w:rPr>
          <w:rFonts w:ascii="Times New Roman" w:hAnsi="Times New Roman"/>
          <w:sz w:val="24"/>
          <w:szCs w:val="24"/>
        </w:rPr>
        <w:t xml:space="preserve"> №</w:t>
      </w:r>
      <w:r w:rsidRPr="00E55F10">
        <w:rPr>
          <w:rFonts w:ascii="Times New Roman" w:hAnsi="Times New Roman"/>
          <w:sz w:val="24"/>
          <w:szCs w:val="24"/>
        </w:rPr>
        <w:t xml:space="preserve"> 115-ФЗ  от 07.08.2001</w:t>
      </w:r>
    </w:p>
    <w:p w:rsidR="00737856" w:rsidRPr="00E55F10" w:rsidRDefault="00737856" w:rsidP="00B967B8">
      <w:pPr>
        <w:pStyle w:val="a6"/>
        <w:numPr>
          <w:ilvl w:val="0"/>
          <w:numId w:val="14"/>
        </w:numPr>
        <w:tabs>
          <w:tab w:val="left" w:pos="426"/>
        </w:tabs>
        <w:spacing w:line="276" w:lineRule="auto"/>
        <w:ind w:left="0" w:firstLine="0"/>
        <w:jc w:val="both"/>
        <w:rPr>
          <w:sz w:val="24"/>
          <w:szCs w:val="24"/>
        </w:rPr>
      </w:pPr>
      <w:r w:rsidRPr="00E55F10">
        <w:rPr>
          <w:sz w:val="24"/>
          <w:szCs w:val="24"/>
        </w:rPr>
        <w:t>Инструкция № 1</w:t>
      </w:r>
      <w:r w:rsidR="00EA282E">
        <w:rPr>
          <w:sz w:val="24"/>
          <w:szCs w:val="24"/>
        </w:rPr>
        <w:t>80</w:t>
      </w:r>
      <w:r w:rsidRPr="00E55F10">
        <w:rPr>
          <w:sz w:val="24"/>
          <w:szCs w:val="24"/>
        </w:rPr>
        <w:t>-И ЦБ РФ «Об обязательных нормативах банков» (в ред. от 18.06.2015).</w:t>
      </w:r>
    </w:p>
    <w:p w:rsidR="00737856" w:rsidRDefault="00737856" w:rsidP="00B967B8">
      <w:pPr>
        <w:pStyle w:val="a6"/>
        <w:numPr>
          <w:ilvl w:val="0"/>
          <w:numId w:val="14"/>
        </w:numPr>
        <w:tabs>
          <w:tab w:val="left" w:pos="426"/>
        </w:tabs>
        <w:spacing w:line="276" w:lineRule="auto"/>
        <w:ind w:left="0" w:firstLine="0"/>
        <w:jc w:val="both"/>
        <w:rPr>
          <w:sz w:val="24"/>
          <w:szCs w:val="24"/>
        </w:rPr>
      </w:pPr>
      <w:r w:rsidRPr="00E55F10">
        <w:rPr>
          <w:sz w:val="24"/>
          <w:szCs w:val="24"/>
        </w:rPr>
        <w:t>Положение № 421-П ЦБ РФ от 30.05.2014 «О порядке расчета показателя краткосрочной ликвидности («Базель-3»)».</w:t>
      </w:r>
    </w:p>
    <w:p w:rsidR="00737856" w:rsidRPr="00737856" w:rsidRDefault="00737856" w:rsidP="00B967B8">
      <w:pPr>
        <w:pStyle w:val="a6"/>
        <w:numPr>
          <w:ilvl w:val="0"/>
          <w:numId w:val="14"/>
        </w:numPr>
        <w:tabs>
          <w:tab w:val="left" w:pos="0"/>
          <w:tab w:val="left" w:pos="426"/>
        </w:tabs>
        <w:spacing w:line="276" w:lineRule="auto"/>
        <w:ind w:left="0" w:firstLine="0"/>
        <w:jc w:val="both"/>
        <w:rPr>
          <w:rStyle w:val="apple-converted-space"/>
          <w:sz w:val="24"/>
          <w:szCs w:val="24"/>
        </w:rPr>
      </w:pPr>
      <w:r w:rsidRPr="00737856">
        <w:rPr>
          <w:rFonts w:cs="Times New Roman"/>
          <w:sz w:val="24"/>
          <w:szCs w:val="24"/>
        </w:rPr>
        <w:t xml:space="preserve">Положение </w:t>
      </w:r>
      <w:r w:rsidR="00D418CC">
        <w:rPr>
          <w:rFonts w:cs="Times New Roman"/>
          <w:sz w:val="24"/>
          <w:szCs w:val="24"/>
        </w:rPr>
        <w:t>№</w:t>
      </w:r>
      <w:r w:rsidRPr="00737856">
        <w:rPr>
          <w:rFonts w:cs="Times New Roman"/>
          <w:sz w:val="24"/>
          <w:szCs w:val="24"/>
        </w:rPr>
        <w:t xml:space="preserve"> 483-П ЦБ РФ от </w:t>
      </w:r>
      <w:r w:rsidRPr="00737856">
        <w:rPr>
          <w:rFonts w:cs="Times New Roman"/>
          <w:bCs/>
          <w:color w:val="000000"/>
          <w:sz w:val="24"/>
          <w:szCs w:val="24"/>
          <w:shd w:val="clear" w:color="auto" w:fill="FFFFFF"/>
        </w:rPr>
        <w:t xml:space="preserve">6 августа 2015 г. N 483-П </w:t>
      </w:r>
      <w:r w:rsidR="00B967B8">
        <w:rPr>
          <w:rFonts w:cs="Times New Roman"/>
          <w:bCs/>
          <w:color w:val="000000"/>
          <w:sz w:val="24"/>
          <w:szCs w:val="24"/>
          <w:shd w:val="clear" w:color="auto" w:fill="FFFFFF"/>
        </w:rPr>
        <w:t>«</w:t>
      </w:r>
      <w:r w:rsidRPr="00737856">
        <w:rPr>
          <w:rFonts w:cs="Times New Roman"/>
          <w:bCs/>
          <w:color w:val="000000"/>
          <w:sz w:val="24"/>
          <w:szCs w:val="24"/>
          <w:shd w:val="clear" w:color="auto" w:fill="FFFFFF"/>
        </w:rPr>
        <w:t>О порядке расчета величины кредитного риска на основе внутренних рейтингов</w:t>
      </w:r>
      <w:r w:rsidR="00B967B8">
        <w:rPr>
          <w:rFonts w:cs="Times New Roman"/>
          <w:bCs/>
          <w:color w:val="000000"/>
          <w:sz w:val="24"/>
          <w:szCs w:val="24"/>
          <w:shd w:val="clear" w:color="auto" w:fill="FFFFFF"/>
        </w:rPr>
        <w:t>».</w:t>
      </w:r>
      <w:r w:rsidRPr="00737856">
        <w:rPr>
          <w:rStyle w:val="apple-converted-space"/>
          <w:rFonts w:cs="Times New Roman"/>
          <w:bCs/>
          <w:color w:val="000000"/>
          <w:sz w:val="24"/>
          <w:szCs w:val="24"/>
          <w:shd w:val="clear" w:color="auto" w:fill="FFFFFF"/>
        </w:rPr>
        <w:t> </w:t>
      </w:r>
    </w:p>
    <w:p w:rsidR="00737856" w:rsidRPr="00737856" w:rsidRDefault="00737856" w:rsidP="00B967B8">
      <w:pPr>
        <w:pStyle w:val="a6"/>
        <w:numPr>
          <w:ilvl w:val="0"/>
          <w:numId w:val="14"/>
        </w:numPr>
        <w:tabs>
          <w:tab w:val="left" w:pos="0"/>
          <w:tab w:val="left" w:pos="426"/>
        </w:tabs>
        <w:spacing w:line="276" w:lineRule="auto"/>
        <w:ind w:left="0" w:firstLine="0"/>
        <w:jc w:val="both"/>
        <w:rPr>
          <w:sz w:val="24"/>
          <w:szCs w:val="24"/>
        </w:rPr>
      </w:pPr>
      <w:r w:rsidRPr="00737856">
        <w:rPr>
          <w:rFonts w:cs="Times New Roman"/>
          <w:bCs/>
          <w:color w:val="000000"/>
          <w:sz w:val="24"/>
          <w:szCs w:val="24"/>
        </w:rPr>
        <w:t xml:space="preserve"> </w:t>
      </w:r>
      <w:proofErr w:type="gramStart"/>
      <w:r w:rsidRPr="00737856">
        <w:rPr>
          <w:sz w:val="24"/>
          <w:szCs w:val="24"/>
        </w:rPr>
        <w:t>Андрюшин С. А., Кузнецова В. В. Центральные банки в мировой экономике.</w:t>
      </w:r>
      <w:proofErr w:type="gramEnd"/>
      <w:r w:rsidRPr="00737856">
        <w:rPr>
          <w:sz w:val="24"/>
          <w:szCs w:val="24"/>
        </w:rPr>
        <w:t xml:space="preserve"> М.: «Инфра-М», 201</w:t>
      </w:r>
      <w:r w:rsidR="00EA282E">
        <w:rPr>
          <w:sz w:val="24"/>
          <w:szCs w:val="24"/>
        </w:rPr>
        <w:t>7</w:t>
      </w:r>
      <w:r w:rsidRPr="00737856">
        <w:rPr>
          <w:sz w:val="24"/>
          <w:szCs w:val="24"/>
        </w:rPr>
        <w:t>.</w:t>
      </w:r>
    </w:p>
    <w:p w:rsidR="00737856" w:rsidRPr="0017255E" w:rsidRDefault="00737856" w:rsidP="00B967B8">
      <w:pPr>
        <w:pStyle w:val="23"/>
        <w:numPr>
          <w:ilvl w:val="0"/>
          <w:numId w:val="14"/>
        </w:numPr>
        <w:tabs>
          <w:tab w:val="left" w:pos="426"/>
        </w:tabs>
        <w:spacing w:after="0" w:line="276" w:lineRule="auto"/>
        <w:ind w:left="0" w:firstLine="0"/>
        <w:jc w:val="both"/>
        <w:rPr>
          <w:rFonts w:ascii="Times New Roman" w:hAnsi="Times New Roman"/>
          <w:sz w:val="24"/>
          <w:szCs w:val="24"/>
        </w:rPr>
      </w:pPr>
      <w:r w:rsidRPr="0017255E">
        <w:rPr>
          <w:rFonts w:ascii="Times New Roman" w:hAnsi="Times New Roman"/>
          <w:sz w:val="24"/>
          <w:szCs w:val="24"/>
        </w:rPr>
        <w:t xml:space="preserve">Банковское дело. Учебник </w:t>
      </w:r>
      <w:r>
        <w:rPr>
          <w:rFonts w:ascii="Times New Roman" w:hAnsi="Times New Roman"/>
          <w:sz w:val="24"/>
          <w:szCs w:val="24"/>
        </w:rPr>
        <w:t xml:space="preserve">/ </w:t>
      </w:r>
      <w:r w:rsidRPr="0017255E">
        <w:rPr>
          <w:rFonts w:ascii="Times New Roman" w:hAnsi="Times New Roman"/>
          <w:sz w:val="24"/>
          <w:szCs w:val="24"/>
        </w:rPr>
        <w:t xml:space="preserve">под ред. О. И. Лаврушина. М.: Изд-во банковского и биржевого научно-консультационного центра, </w:t>
      </w:r>
      <w:r w:rsidR="00EA282E">
        <w:rPr>
          <w:rFonts w:ascii="Times New Roman" w:hAnsi="Times New Roman"/>
          <w:sz w:val="24"/>
          <w:szCs w:val="24"/>
        </w:rPr>
        <w:t>2015</w:t>
      </w:r>
      <w:r w:rsidRPr="0017255E">
        <w:rPr>
          <w:rFonts w:ascii="Times New Roman" w:hAnsi="Times New Roman"/>
          <w:sz w:val="24"/>
          <w:szCs w:val="24"/>
        </w:rPr>
        <w:t>.</w:t>
      </w:r>
    </w:p>
    <w:p w:rsidR="00737856" w:rsidRPr="0017255E" w:rsidRDefault="00737856" w:rsidP="00B967B8">
      <w:pPr>
        <w:pStyle w:val="23"/>
        <w:numPr>
          <w:ilvl w:val="0"/>
          <w:numId w:val="14"/>
        </w:numPr>
        <w:tabs>
          <w:tab w:val="left" w:pos="426"/>
        </w:tabs>
        <w:spacing w:after="0" w:line="276" w:lineRule="auto"/>
        <w:ind w:left="0" w:firstLine="0"/>
        <w:jc w:val="both"/>
        <w:rPr>
          <w:rFonts w:ascii="Times New Roman" w:hAnsi="Times New Roman"/>
          <w:sz w:val="24"/>
          <w:szCs w:val="24"/>
        </w:rPr>
      </w:pPr>
      <w:proofErr w:type="spellStart"/>
      <w:r w:rsidRPr="0017255E">
        <w:rPr>
          <w:rFonts w:ascii="Times New Roman" w:hAnsi="Times New Roman"/>
          <w:sz w:val="24"/>
          <w:szCs w:val="24"/>
        </w:rPr>
        <w:t>Долан</w:t>
      </w:r>
      <w:proofErr w:type="spellEnd"/>
      <w:r w:rsidRPr="0017255E">
        <w:rPr>
          <w:rFonts w:ascii="Times New Roman" w:hAnsi="Times New Roman"/>
          <w:sz w:val="24"/>
          <w:szCs w:val="24"/>
        </w:rPr>
        <w:t xml:space="preserve"> Э.Д. Деньги, банковское дело и денежно-кредитная политика. СПб</w:t>
      </w:r>
      <w:proofErr w:type="gramStart"/>
      <w:r w:rsidRPr="0017255E">
        <w:rPr>
          <w:rFonts w:ascii="Times New Roman" w:hAnsi="Times New Roman"/>
          <w:sz w:val="24"/>
          <w:szCs w:val="24"/>
        </w:rPr>
        <w:t>.:</w:t>
      </w:r>
      <w:r w:rsidR="00EA282E">
        <w:rPr>
          <w:rFonts w:ascii="Times New Roman" w:hAnsi="Times New Roman"/>
          <w:sz w:val="24"/>
          <w:szCs w:val="24"/>
        </w:rPr>
        <w:t xml:space="preserve"> «</w:t>
      </w:r>
      <w:proofErr w:type="gramEnd"/>
      <w:r w:rsidR="00EA282E">
        <w:rPr>
          <w:rFonts w:ascii="Times New Roman" w:hAnsi="Times New Roman"/>
          <w:sz w:val="24"/>
          <w:szCs w:val="24"/>
        </w:rPr>
        <w:t>Санкт-Петербург Оркестр», 2016</w:t>
      </w:r>
      <w:r w:rsidRPr="0017255E">
        <w:rPr>
          <w:rFonts w:ascii="Times New Roman" w:hAnsi="Times New Roman"/>
          <w:sz w:val="24"/>
          <w:szCs w:val="24"/>
        </w:rPr>
        <w:t>.</w:t>
      </w:r>
    </w:p>
    <w:p w:rsidR="00737856" w:rsidRPr="0017255E" w:rsidRDefault="00737856" w:rsidP="00B967B8">
      <w:pPr>
        <w:pStyle w:val="21"/>
        <w:numPr>
          <w:ilvl w:val="0"/>
          <w:numId w:val="14"/>
        </w:numPr>
        <w:tabs>
          <w:tab w:val="left" w:pos="426"/>
        </w:tabs>
        <w:spacing w:after="0" w:line="276" w:lineRule="auto"/>
        <w:ind w:left="0" w:firstLine="0"/>
        <w:jc w:val="both"/>
        <w:rPr>
          <w:rFonts w:ascii="Times New Roman" w:hAnsi="Times New Roman"/>
          <w:sz w:val="24"/>
          <w:szCs w:val="24"/>
        </w:rPr>
      </w:pPr>
      <w:r w:rsidRPr="0017255E">
        <w:rPr>
          <w:rFonts w:ascii="Times New Roman" w:hAnsi="Times New Roman"/>
          <w:sz w:val="24"/>
          <w:szCs w:val="24"/>
        </w:rPr>
        <w:lastRenderedPageBreak/>
        <w:t>Кудрин А. Влияние доходов от экспорта нефтегазовых ресурсов на денежно-кредитную политику России // Вопросы экономики</w:t>
      </w:r>
      <w:r w:rsidR="00A57259">
        <w:rPr>
          <w:rFonts w:ascii="Times New Roman" w:hAnsi="Times New Roman"/>
          <w:sz w:val="24"/>
          <w:szCs w:val="24"/>
        </w:rPr>
        <w:t>.</w:t>
      </w:r>
      <w:r w:rsidRPr="0017255E">
        <w:rPr>
          <w:rFonts w:ascii="Times New Roman" w:hAnsi="Times New Roman"/>
          <w:sz w:val="24"/>
          <w:szCs w:val="24"/>
        </w:rPr>
        <w:t xml:space="preserve"> 201</w:t>
      </w:r>
      <w:r w:rsidR="00EA282E">
        <w:rPr>
          <w:rFonts w:ascii="Times New Roman" w:hAnsi="Times New Roman"/>
          <w:sz w:val="24"/>
          <w:szCs w:val="24"/>
        </w:rPr>
        <w:t>3</w:t>
      </w:r>
      <w:r w:rsidR="00A57259">
        <w:rPr>
          <w:rFonts w:ascii="Times New Roman" w:hAnsi="Times New Roman"/>
          <w:sz w:val="24"/>
          <w:szCs w:val="24"/>
        </w:rPr>
        <w:t>.</w:t>
      </w:r>
      <w:r w:rsidRPr="0017255E">
        <w:rPr>
          <w:rFonts w:ascii="Times New Roman" w:hAnsi="Times New Roman"/>
          <w:sz w:val="24"/>
          <w:szCs w:val="24"/>
        </w:rPr>
        <w:t xml:space="preserve"> № 3</w:t>
      </w:r>
      <w:r w:rsidR="00A57259">
        <w:rPr>
          <w:rFonts w:ascii="Times New Roman" w:hAnsi="Times New Roman"/>
          <w:sz w:val="24"/>
          <w:szCs w:val="24"/>
        </w:rPr>
        <w:t>.</w:t>
      </w:r>
      <w:r w:rsidRPr="0017255E">
        <w:rPr>
          <w:rFonts w:ascii="Times New Roman" w:hAnsi="Times New Roman"/>
          <w:sz w:val="24"/>
          <w:szCs w:val="24"/>
        </w:rPr>
        <w:t xml:space="preserve"> </w:t>
      </w:r>
      <w:r w:rsidR="00A57259">
        <w:rPr>
          <w:rFonts w:ascii="Times New Roman" w:hAnsi="Times New Roman"/>
          <w:sz w:val="24"/>
          <w:szCs w:val="24"/>
        </w:rPr>
        <w:t>С</w:t>
      </w:r>
      <w:r w:rsidRPr="0017255E">
        <w:rPr>
          <w:rFonts w:ascii="Times New Roman" w:hAnsi="Times New Roman"/>
          <w:sz w:val="24"/>
          <w:szCs w:val="24"/>
        </w:rPr>
        <w:t>. 4-19.</w:t>
      </w:r>
    </w:p>
    <w:p w:rsidR="00737856" w:rsidRPr="0017255E" w:rsidRDefault="00737856" w:rsidP="00B967B8">
      <w:pPr>
        <w:pStyle w:val="21"/>
        <w:numPr>
          <w:ilvl w:val="0"/>
          <w:numId w:val="14"/>
        </w:numPr>
        <w:tabs>
          <w:tab w:val="left" w:pos="426"/>
        </w:tabs>
        <w:spacing w:after="0" w:line="276" w:lineRule="auto"/>
        <w:ind w:left="0" w:firstLine="0"/>
        <w:jc w:val="both"/>
        <w:rPr>
          <w:rFonts w:ascii="Times New Roman" w:hAnsi="Times New Roman"/>
          <w:sz w:val="24"/>
          <w:szCs w:val="24"/>
        </w:rPr>
      </w:pPr>
      <w:proofErr w:type="spellStart"/>
      <w:r w:rsidRPr="0017255E">
        <w:rPr>
          <w:rFonts w:ascii="Times New Roman" w:hAnsi="Times New Roman"/>
          <w:sz w:val="24"/>
          <w:szCs w:val="24"/>
        </w:rPr>
        <w:t>Матук</w:t>
      </w:r>
      <w:proofErr w:type="spellEnd"/>
      <w:r w:rsidRPr="0017255E">
        <w:rPr>
          <w:rFonts w:ascii="Times New Roman" w:hAnsi="Times New Roman"/>
          <w:sz w:val="24"/>
          <w:szCs w:val="24"/>
        </w:rPr>
        <w:t xml:space="preserve"> Ж. Финансовые системы Франции и других стран. М.: </w:t>
      </w:r>
      <w:proofErr w:type="spellStart"/>
      <w:r w:rsidRPr="0017255E">
        <w:rPr>
          <w:rFonts w:ascii="Times New Roman" w:hAnsi="Times New Roman"/>
          <w:sz w:val="24"/>
          <w:szCs w:val="24"/>
        </w:rPr>
        <w:t>Финстатинформ</w:t>
      </w:r>
      <w:proofErr w:type="spellEnd"/>
      <w:r w:rsidRPr="0017255E">
        <w:rPr>
          <w:rFonts w:ascii="Times New Roman" w:hAnsi="Times New Roman"/>
          <w:sz w:val="24"/>
          <w:szCs w:val="24"/>
        </w:rPr>
        <w:t xml:space="preserve">», </w:t>
      </w:r>
      <w:r w:rsidR="00EA282E">
        <w:rPr>
          <w:rFonts w:ascii="Times New Roman" w:hAnsi="Times New Roman"/>
          <w:sz w:val="24"/>
          <w:szCs w:val="24"/>
        </w:rPr>
        <w:t>201</w:t>
      </w:r>
      <w:r w:rsidRPr="0017255E">
        <w:rPr>
          <w:rFonts w:ascii="Times New Roman" w:hAnsi="Times New Roman"/>
          <w:sz w:val="24"/>
          <w:szCs w:val="24"/>
        </w:rPr>
        <w:t xml:space="preserve">4. </w:t>
      </w:r>
    </w:p>
    <w:p w:rsidR="00737856" w:rsidRPr="0017255E" w:rsidRDefault="00737856" w:rsidP="00B967B8">
      <w:pPr>
        <w:pStyle w:val="21"/>
        <w:numPr>
          <w:ilvl w:val="0"/>
          <w:numId w:val="14"/>
        </w:numPr>
        <w:tabs>
          <w:tab w:val="left" w:pos="426"/>
        </w:tabs>
        <w:spacing w:after="0" w:line="276" w:lineRule="auto"/>
        <w:ind w:left="0" w:firstLine="0"/>
        <w:jc w:val="both"/>
        <w:rPr>
          <w:rFonts w:ascii="Times New Roman" w:hAnsi="Times New Roman"/>
          <w:sz w:val="24"/>
          <w:szCs w:val="24"/>
        </w:rPr>
      </w:pPr>
      <w:r w:rsidRPr="0017255E">
        <w:rPr>
          <w:rFonts w:ascii="Times New Roman" w:hAnsi="Times New Roman"/>
          <w:sz w:val="24"/>
          <w:szCs w:val="24"/>
        </w:rPr>
        <w:t xml:space="preserve">Никифорова А. П. Современный зарубежный опыт реструктуризации банковской системы // Сб. научных трудов. </w:t>
      </w:r>
      <w:proofErr w:type="spellStart"/>
      <w:r w:rsidRPr="0017255E">
        <w:rPr>
          <w:rFonts w:ascii="Times New Roman" w:hAnsi="Times New Roman"/>
          <w:sz w:val="24"/>
          <w:szCs w:val="24"/>
        </w:rPr>
        <w:t>Вып</w:t>
      </w:r>
      <w:proofErr w:type="spellEnd"/>
      <w:r w:rsidRPr="0017255E">
        <w:rPr>
          <w:rFonts w:ascii="Times New Roman" w:hAnsi="Times New Roman"/>
          <w:sz w:val="24"/>
          <w:szCs w:val="24"/>
        </w:rPr>
        <w:t xml:space="preserve">. 9 </w:t>
      </w:r>
      <w:r w:rsidR="00A57259">
        <w:rPr>
          <w:rFonts w:ascii="Times New Roman" w:hAnsi="Times New Roman"/>
          <w:sz w:val="24"/>
          <w:szCs w:val="24"/>
        </w:rPr>
        <w:t xml:space="preserve">/ </w:t>
      </w:r>
      <w:r w:rsidRPr="0017255E">
        <w:rPr>
          <w:rFonts w:ascii="Times New Roman" w:hAnsi="Times New Roman"/>
          <w:sz w:val="24"/>
          <w:szCs w:val="24"/>
        </w:rPr>
        <w:t>под ред. А.</w:t>
      </w:r>
      <w:r w:rsidR="00A57259">
        <w:rPr>
          <w:rFonts w:ascii="Times New Roman" w:hAnsi="Times New Roman"/>
          <w:sz w:val="24"/>
          <w:szCs w:val="24"/>
        </w:rPr>
        <w:t xml:space="preserve"> </w:t>
      </w:r>
      <w:r w:rsidRPr="0017255E">
        <w:rPr>
          <w:rFonts w:ascii="Times New Roman" w:hAnsi="Times New Roman"/>
          <w:sz w:val="24"/>
          <w:szCs w:val="24"/>
        </w:rPr>
        <w:t xml:space="preserve">И. </w:t>
      </w:r>
      <w:proofErr w:type="spellStart"/>
      <w:r w:rsidRPr="0017255E">
        <w:rPr>
          <w:rFonts w:ascii="Times New Roman" w:hAnsi="Times New Roman"/>
          <w:sz w:val="24"/>
          <w:szCs w:val="24"/>
        </w:rPr>
        <w:t>Михайлушкина</w:t>
      </w:r>
      <w:proofErr w:type="spellEnd"/>
      <w:r w:rsidRPr="0017255E">
        <w:rPr>
          <w:rFonts w:ascii="Times New Roman" w:hAnsi="Times New Roman"/>
          <w:sz w:val="24"/>
          <w:szCs w:val="24"/>
        </w:rPr>
        <w:t xml:space="preserve"> и Н.</w:t>
      </w:r>
      <w:r w:rsidR="00A57259">
        <w:rPr>
          <w:rFonts w:ascii="Times New Roman" w:hAnsi="Times New Roman"/>
          <w:sz w:val="24"/>
          <w:szCs w:val="24"/>
        </w:rPr>
        <w:t xml:space="preserve"> </w:t>
      </w:r>
      <w:r w:rsidRPr="0017255E">
        <w:rPr>
          <w:rFonts w:ascii="Times New Roman" w:hAnsi="Times New Roman"/>
          <w:sz w:val="24"/>
          <w:szCs w:val="24"/>
        </w:rPr>
        <w:t>А. Савинской. СПб</w:t>
      </w:r>
      <w:proofErr w:type="gramStart"/>
      <w:r w:rsidRPr="0017255E">
        <w:rPr>
          <w:rFonts w:ascii="Times New Roman" w:hAnsi="Times New Roman"/>
          <w:sz w:val="24"/>
          <w:szCs w:val="24"/>
        </w:rPr>
        <w:t xml:space="preserve">.: </w:t>
      </w:r>
      <w:proofErr w:type="spellStart"/>
      <w:proofErr w:type="gramEnd"/>
      <w:r w:rsidRPr="0017255E">
        <w:rPr>
          <w:rFonts w:ascii="Times New Roman" w:hAnsi="Times New Roman"/>
          <w:sz w:val="24"/>
          <w:szCs w:val="24"/>
        </w:rPr>
        <w:t>СПбГИЭУ</w:t>
      </w:r>
      <w:proofErr w:type="spellEnd"/>
      <w:r w:rsidRPr="0017255E">
        <w:rPr>
          <w:rFonts w:ascii="Times New Roman" w:hAnsi="Times New Roman"/>
          <w:sz w:val="24"/>
          <w:szCs w:val="24"/>
        </w:rPr>
        <w:t>, 20</w:t>
      </w:r>
      <w:r w:rsidR="00EA282E">
        <w:rPr>
          <w:rFonts w:ascii="Times New Roman" w:hAnsi="Times New Roman"/>
          <w:sz w:val="24"/>
          <w:szCs w:val="24"/>
        </w:rPr>
        <w:t>1</w:t>
      </w:r>
      <w:r w:rsidRPr="0017255E">
        <w:rPr>
          <w:rFonts w:ascii="Times New Roman" w:hAnsi="Times New Roman"/>
          <w:sz w:val="24"/>
          <w:szCs w:val="24"/>
        </w:rPr>
        <w:t>6, с.102-104.</w:t>
      </w:r>
    </w:p>
    <w:p w:rsidR="00737856" w:rsidRPr="0017255E" w:rsidRDefault="00737856" w:rsidP="00B967B8">
      <w:pPr>
        <w:pStyle w:val="21"/>
        <w:numPr>
          <w:ilvl w:val="0"/>
          <w:numId w:val="14"/>
        </w:numPr>
        <w:tabs>
          <w:tab w:val="left" w:pos="426"/>
        </w:tabs>
        <w:spacing w:after="0" w:line="276" w:lineRule="auto"/>
        <w:ind w:left="0" w:firstLine="0"/>
        <w:jc w:val="both"/>
        <w:rPr>
          <w:rFonts w:ascii="Times New Roman" w:hAnsi="Times New Roman"/>
          <w:sz w:val="24"/>
          <w:szCs w:val="24"/>
        </w:rPr>
      </w:pPr>
      <w:proofErr w:type="spellStart"/>
      <w:r w:rsidRPr="0017255E">
        <w:rPr>
          <w:rFonts w:ascii="Times New Roman" w:hAnsi="Times New Roman"/>
          <w:sz w:val="24"/>
          <w:szCs w:val="24"/>
        </w:rPr>
        <w:t>Овчинникова</w:t>
      </w:r>
      <w:proofErr w:type="spellEnd"/>
      <w:r w:rsidRPr="0017255E">
        <w:rPr>
          <w:rFonts w:ascii="Times New Roman" w:hAnsi="Times New Roman"/>
          <w:sz w:val="24"/>
          <w:szCs w:val="24"/>
        </w:rPr>
        <w:t xml:space="preserve"> О. П., Михалева Ю. В. Стратегия институционально-сетевого развития банковской инфраструктуры // Финансы и кредит, 2009. № 2 (339). С. 2–10.</w:t>
      </w:r>
    </w:p>
    <w:p w:rsidR="00737856" w:rsidRPr="0017255E" w:rsidRDefault="00737856" w:rsidP="00B967B8">
      <w:pPr>
        <w:pStyle w:val="23"/>
        <w:numPr>
          <w:ilvl w:val="0"/>
          <w:numId w:val="14"/>
        </w:numPr>
        <w:tabs>
          <w:tab w:val="left" w:pos="426"/>
        </w:tabs>
        <w:spacing w:after="0" w:line="276" w:lineRule="auto"/>
        <w:ind w:left="0" w:firstLine="0"/>
        <w:jc w:val="both"/>
        <w:rPr>
          <w:rFonts w:ascii="Times New Roman" w:hAnsi="Times New Roman"/>
          <w:sz w:val="24"/>
          <w:szCs w:val="24"/>
        </w:rPr>
      </w:pPr>
      <w:proofErr w:type="spellStart"/>
      <w:r w:rsidRPr="0017255E">
        <w:rPr>
          <w:rFonts w:ascii="Times New Roman" w:hAnsi="Times New Roman"/>
          <w:sz w:val="24"/>
          <w:szCs w:val="24"/>
        </w:rPr>
        <w:t>Роуз</w:t>
      </w:r>
      <w:proofErr w:type="spellEnd"/>
      <w:r w:rsidRPr="0017255E">
        <w:rPr>
          <w:rFonts w:ascii="Times New Roman" w:hAnsi="Times New Roman"/>
          <w:sz w:val="24"/>
          <w:szCs w:val="24"/>
        </w:rPr>
        <w:t xml:space="preserve"> П.С. Банковский менеджмент. М.: «ДЕЛО Лтд», </w:t>
      </w:r>
      <w:r w:rsidR="00EA282E">
        <w:rPr>
          <w:rFonts w:ascii="Times New Roman" w:hAnsi="Times New Roman"/>
          <w:sz w:val="24"/>
          <w:szCs w:val="24"/>
        </w:rPr>
        <w:t>2015</w:t>
      </w:r>
      <w:r w:rsidRPr="0017255E">
        <w:rPr>
          <w:rFonts w:ascii="Times New Roman" w:hAnsi="Times New Roman"/>
          <w:sz w:val="24"/>
          <w:szCs w:val="24"/>
        </w:rPr>
        <w:t>.</w:t>
      </w:r>
    </w:p>
    <w:p w:rsidR="00737856" w:rsidRPr="0017255E" w:rsidRDefault="00737856" w:rsidP="00B967B8">
      <w:pPr>
        <w:pStyle w:val="21"/>
        <w:numPr>
          <w:ilvl w:val="0"/>
          <w:numId w:val="14"/>
        </w:numPr>
        <w:tabs>
          <w:tab w:val="left" w:pos="426"/>
        </w:tabs>
        <w:spacing w:after="0" w:line="276" w:lineRule="auto"/>
        <w:ind w:left="0" w:firstLine="0"/>
        <w:jc w:val="both"/>
        <w:rPr>
          <w:rFonts w:ascii="Times New Roman" w:hAnsi="Times New Roman"/>
          <w:sz w:val="24"/>
          <w:szCs w:val="24"/>
        </w:rPr>
      </w:pPr>
      <w:r w:rsidRPr="0017255E">
        <w:rPr>
          <w:rFonts w:ascii="Times New Roman" w:hAnsi="Times New Roman"/>
          <w:sz w:val="24"/>
          <w:szCs w:val="24"/>
        </w:rPr>
        <w:t>Тавасиев А.</w:t>
      </w:r>
      <w:r>
        <w:rPr>
          <w:rFonts w:ascii="Times New Roman" w:hAnsi="Times New Roman"/>
          <w:sz w:val="24"/>
          <w:szCs w:val="24"/>
        </w:rPr>
        <w:t xml:space="preserve"> </w:t>
      </w:r>
      <w:r w:rsidRPr="0017255E">
        <w:rPr>
          <w:rFonts w:ascii="Times New Roman" w:hAnsi="Times New Roman"/>
          <w:sz w:val="24"/>
          <w:szCs w:val="24"/>
        </w:rPr>
        <w:t>М., Мазурина Т.</w:t>
      </w:r>
      <w:r>
        <w:rPr>
          <w:rFonts w:ascii="Times New Roman" w:hAnsi="Times New Roman"/>
          <w:sz w:val="24"/>
          <w:szCs w:val="24"/>
        </w:rPr>
        <w:t xml:space="preserve"> </w:t>
      </w:r>
      <w:r w:rsidRPr="0017255E">
        <w:rPr>
          <w:rFonts w:ascii="Times New Roman" w:hAnsi="Times New Roman"/>
          <w:sz w:val="24"/>
          <w:szCs w:val="24"/>
        </w:rPr>
        <w:t>Ю., Бычков В.</w:t>
      </w:r>
      <w:r>
        <w:rPr>
          <w:rFonts w:ascii="Times New Roman" w:hAnsi="Times New Roman"/>
          <w:sz w:val="24"/>
          <w:szCs w:val="24"/>
        </w:rPr>
        <w:t xml:space="preserve"> </w:t>
      </w:r>
      <w:r w:rsidRPr="0017255E">
        <w:rPr>
          <w:rFonts w:ascii="Times New Roman" w:hAnsi="Times New Roman"/>
          <w:sz w:val="24"/>
          <w:szCs w:val="24"/>
        </w:rPr>
        <w:t>П. Банковское кредитование. Учебник. М.: «Инфра-М», 201</w:t>
      </w:r>
      <w:r w:rsidR="00EA282E">
        <w:rPr>
          <w:rFonts w:ascii="Times New Roman" w:hAnsi="Times New Roman"/>
          <w:sz w:val="24"/>
          <w:szCs w:val="24"/>
        </w:rPr>
        <w:t>6</w:t>
      </w:r>
      <w:r w:rsidRPr="0017255E">
        <w:rPr>
          <w:rFonts w:ascii="Times New Roman" w:hAnsi="Times New Roman"/>
          <w:sz w:val="24"/>
          <w:szCs w:val="24"/>
        </w:rPr>
        <w:t>.</w:t>
      </w:r>
    </w:p>
    <w:p w:rsidR="00737856" w:rsidRPr="0017255E" w:rsidRDefault="00737856" w:rsidP="00B967B8">
      <w:pPr>
        <w:pStyle w:val="21"/>
        <w:numPr>
          <w:ilvl w:val="0"/>
          <w:numId w:val="14"/>
        </w:numPr>
        <w:tabs>
          <w:tab w:val="left" w:pos="426"/>
        </w:tabs>
        <w:spacing w:after="0" w:line="276" w:lineRule="auto"/>
        <w:ind w:left="0" w:firstLine="0"/>
        <w:jc w:val="both"/>
        <w:rPr>
          <w:rFonts w:ascii="Times New Roman" w:hAnsi="Times New Roman"/>
          <w:sz w:val="24"/>
          <w:szCs w:val="24"/>
        </w:rPr>
      </w:pPr>
      <w:r w:rsidRPr="0017255E">
        <w:rPr>
          <w:rFonts w:ascii="Times New Roman" w:hAnsi="Times New Roman"/>
          <w:sz w:val="24"/>
          <w:szCs w:val="24"/>
        </w:rPr>
        <w:t xml:space="preserve">Энциклопедия финансового </w:t>
      </w:r>
      <w:proofErr w:type="gramStart"/>
      <w:r w:rsidRPr="0017255E">
        <w:rPr>
          <w:rFonts w:ascii="Times New Roman" w:hAnsi="Times New Roman"/>
          <w:sz w:val="24"/>
          <w:szCs w:val="24"/>
        </w:rPr>
        <w:t>риск-менеджмента</w:t>
      </w:r>
      <w:proofErr w:type="gramEnd"/>
      <w:r w:rsidRPr="0017255E">
        <w:rPr>
          <w:rFonts w:ascii="Times New Roman" w:hAnsi="Times New Roman"/>
          <w:sz w:val="24"/>
          <w:szCs w:val="24"/>
        </w:rPr>
        <w:t xml:space="preserve">: под ред. А. А. Лобанова и А. В. Чугунова, 4-е изд., </w:t>
      </w:r>
      <w:proofErr w:type="spellStart"/>
      <w:r w:rsidRPr="0017255E">
        <w:rPr>
          <w:rFonts w:ascii="Times New Roman" w:hAnsi="Times New Roman"/>
          <w:sz w:val="24"/>
          <w:szCs w:val="24"/>
        </w:rPr>
        <w:t>испр</w:t>
      </w:r>
      <w:proofErr w:type="spellEnd"/>
      <w:r w:rsidRPr="0017255E">
        <w:rPr>
          <w:rFonts w:ascii="Times New Roman" w:hAnsi="Times New Roman"/>
          <w:sz w:val="24"/>
          <w:szCs w:val="24"/>
        </w:rPr>
        <w:t>. и доп. М., 20</w:t>
      </w:r>
      <w:r w:rsidR="00EA282E">
        <w:rPr>
          <w:rFonts w:ascii="Times New Roman" w:hAnsi="Times New Roman"/>
          <w:sz w:val="24"/>
          <w:szCs w:val="24"/>
        </w:rPr>
        <w:t>14</w:t>
      </w:r>
      <w:r w:rsidRPr="0017255E">
        <w:rPr>
          <w:rFonts w:ascii="Times New Roman" w:hAnsi="Times New Roman"/>
          <w:sz w:val="24"/>
          <w:szCs w:val="24"/>
        </w:rPr>
        <w:t>.</w:t>
      </w:r>
    </w:p>
    <w:p w:rsidR="00737856" w:rsidRPr="0017255E" w:rsidRDefault="00737856" w:rsidP="00B967B8">
      <w:pPr>
        <w:numPr>
          <w:ilvl w:val="0"/>
          <w:numId w:val="14"/>
        </w:numPr>
        <w:tabs>
          <w:tab w:val="left" w:pos="426"/>
        </w:tabs>
        <w:spacing w:after="0" w:line="276" w:lineRule="auto"/>
        <w:ind w:left="0" w:firstLine="0"/>
        <w:jc w:val="both"/>
        <w:rPr>
          <w:szCs w:val="24"/>
          <w:lang w:val="en-US"/>
        </w:rPr>
      </w:pPr>
      <w:proofErr w:type="spellStart"/>
      <w:r w:rsidRPr="0017255E">
        <w:rPr>
          <w:lang w:val="en-US"/>
        </w:rPr>
        <w:t>Borio</w:t>
      </w:r>
      <w:proofErr w:type="spellEnd"/>
      <w:r w:rsidRPr="0017255E">
        <w:rPr>
          <w:lang w:val="en-US"/>
        </w:rPr>
        <w:t xml:space="preserve"> C. Rediscovering the Macroeconomic Roots of Financial Stability Policy: Journey, Challenges and a Way Forward //</w:t>
      </w:r>
      <w:r w:rsidR="00EA282E">
        <w:rPr>
          <w:lang w:val="en-US"/>
        </w:rPr>
        <w:t xml:space="preserve"> BIS Working Papers. Basel. 201</w:t>
      </w:r>
      <w:r w:rsidR="00EA282E">
        <w:t>6</w:t>
      </w:r>
      <w:r w:rsidR="00D418CC" w:rsidRPr="00D418CC">
        <w:rPr>
          <w:lang w:val="en-US"/>
        </w:rPr>
        <w:t>.</w:t>
      </w:r>
      <w:r w:rsidRPr="0017255E">
        <w:rPr>
          <w:lang w:val="en-US"/>
        </w:rPr>
        <w:t xml:space="preserve"> </w:t>
      </w:r>
      <w:r w:rsidR="00D418CC" w:rsidRPr="00D418CC">
        <w:rPr>
          <w:lang w:val="en-US"/>
        </w:rPr>
        <w:t>№</w:t>
      </w:r>
      <w:r w:rsidRPr="0017255E">
        <w:rPr>
          <w:lang w:val="en-US"/>
        </w:rPr>
        <w:t xml:space="preserve"> 354, p.</w:t>
      </w:r>
      <w:r w:rsidR="00D418CC" w:rsidRPr="00D418CC">
        <w:rPr>
          <w:lang w:val="en-US"/>
        </w:rPr>
        <w:t xml:space="preserve"> </w:t>
      </w:r>
      <w:r w:rsidRPr="0017255E">
        <w:rPr>
          <w:lang w:val="en-US"/>
        </w:rPr>
        <w:t>99</w:t>
      </w:r>
      <w:r w:rsidRPr="00D418CC">
        <w:rPr>
          <w:szCs w:val="24"/>
          <w:lang w:val="en-US"/>
        </w:rPr>
        <w:t>.</w:t>
      </w:r>
    </w:p>
    <w:p w:rsidR="00737856" w:rsidRPr="0017255E" w:rsidRDefault="00737856" w:rsidP="00B967B8">
      <w:pPr>
        <w:numPr>
          <w:ilvl w:val="0"/>
          <w:numId w:val="14"/>
        </w:numPr>
        <w:tabs>
          <w:tab w:val="left" w:pos="426"/>
        </w:tabs>
        <w:spacing w:after="0" w:line="276" w:lineRule="auto"/>
        <w:ind w:left="0" w:firstLine="0"/>
        <w:jc w:val="both"/>
        <w:rPr>
          <w:szCs w:val="24"/>
          <w:lang w:val="en-US"/>
        </w:rPr>
      </w:pPr>
      <w:r w:rsidRPr="0017255E">
        <w:rPr>
          <w:iCs/>
          <w:snapToGrid w:val="0"/>
          <w:szCs w:val="24"/>
          <w:lang w:val="en-US"/>
        </w:rPr>
        <w:t>Maurice D.</w:t>
      </w:r>
      <w:r w:rsidR="00D418CC" w:rsidRPr="005E4DC6">
        <w:rPr>
          <w:iCs/>
          <w:snapToGrid w:val="0"/>
          <w:szCs w:val="24"/>
          <w:lang w:val="en-US"/>
        </w:rPr>
        <w:t xml:space="preserve"> </w:t>
      </w:r>
      <w:r w:rsidRPr="0017255E">
        <w:rPr>
          <w:iCs/>
          <w:snapToGrid w:val="0"/>
          <w:szCs w:val="24"/>
          <w:lang w:val="en-US"/>
        </w:rPr>
        <w:t>Levi. International Finance:</w:t>
      </w:r>
      <w:r w:rsidRPr="0017255E">
        <w:rPr>
          <w:szCs w:val="24"/>
          <w:lang w:val="en-US"/>
        </w:rPr>
        <w:t xml:space="preserve"> The Markets and Financial Management of Multinational Business. Second Edition, Mc. </w:t>
      </w:r>
      <w:proofErr w:type="spellStart"/>
      <w:r w:rsidRPr="0017255E">
        <w:rPr>
          <w:szCs w:val="24"/>
          <w:lang w:val="en-US"/>
        </w:rPr>
        <w:t>Graw</w:t>
      </w:r>
      <w:proofErr w:type="spellEnd"/>
      <w:r w:rsidRPr="0017255E">
        <w:rPr>
          <w:szCs w:val="24"/>
          <w:lang w:val="en-US"/>
        </w:rPr>
        <w:t>-Hill Inc., 20</w:t>
      </w:r>
      <w:r w:rsidR="00EA282E">
        <w:rPr>
          <w:szCs w:val="24"/>
        </w:rPr>
        <w:t>1</w:t>
      </w:r>
      <w:r w:rsidRPr="0017255E">
        <w:rPr>
          <w:szCs w:val="24"/>
          <w:lang w:val="en-US"/>
        </w:rPr>
        <w:t>6</w:t>
      </w:r>
      <w:r w:rsidRPr="0017255E">
        <w:rPr>
          <w:szCs w:val="24"/>
        </w:rPr>
        <w:t>.</w:t>
      </w:r>
    </w:p>
    <w:p w:rsidR="00737856" w:rsidRPr="0017255E" w:rsidRDefault="00737856" w:rsidP="00B967B8">
      <w:pPr>
        <w:pStyle w:val="a6"/>
        <w:numPr>
          <w:ilvl w:val="0"/>
          <w:numId w:val="14"/>
        </w:numPr>
        <w:tabs>
          <w:tab w:val="left" w:pos="426"/>
        </w:tabs>
        <w:spacing w:line="276" w:lineRule="auto"/>
        <w:ind w:left="0" w:firstLine="0"/>
        <w:jc w:val="both"/>
        <w:rPr>
          <w:sz w:val="24"/>
          <w:szCs w:val="24"/>
          <w:lang w:val="en-US"/>
        </w:rPr>
      </w:pPr>
      <w:proofErr w:type="spellStart"/>
      <w:r w:rsidRPr="0017255E">
        <w:rPr>
          <w:sz w:val="24"/>
          <w:szCs w:val="24"/>
          <w:lang w:val="en-US"/>
        </w:rPr>
        <w:t>Wezel</w:t>
      </w:r>
      <w:proofErr w:type="spellEnd"/>
      <w:r w:rsidRPr="0017255E">
        <w:rPr>
          <w:sz w:val="24"/>
          <w:szCs w:val="24"/>
          <w:lang w:val="en-US"/>
        </w:rPr>
        <w:t xml:space="preserve"> T.,</w:t>
      </w:r>
      <w:r w:rsidR="00D418CC" w:rsidRPr="00D418CC">
        <w:rPr>
          <w:sz w:val="24"/>
          <w:szCs w:val="24"/>
          <w:lang w:val="en-US"/>
        </w:rPr>
        <w:t xml:space="preserve"> </w:t>
      </w:r>
      <w:r w:rsidRPr="0017255E">
        <w:rPr>
          <w:sz w:val="24"/>
          <w:szCs w:val="24"/>
          <w:lang w:val="en-US"/>
        </w:rPr>
        <w:t>Chan Lau J.A., Columba F. Dynamic Loan Loss Provisioning Simulations on Effectiveness and Guide to Implementation// IMF Working Papers.</w:t>
      </w:r>
      <w:r w:rsidR="00D418CC" w:rsidRPr="00D418CC">
        <w:rPr>
          <w:sz w:val="24"/>
          <w:szCs w:val="24"/>
          <w:lang w:val="en-US"/>
        </w:rPr>
        <w:t xml:space="preserve"> </w:t>
      </w:r>
      <w:r w:rsidRPr="0017255E">
        <w:rPr>
          <w:sz w:val="24"/>
          <w:szCs w:val="24"/>
          <w:lang w:val="en-US"/>
        </w:rPr>
        <w:t>201</w:t>
      </w:r>
      <w:r w:rsidR="00EA282E">
        <w:rPr>
          <w:sz w:val="24"/>
          <w:szCs w:val="24"/>
        </w:rPr>
        <w:t>7</w:t>
      </w:r>
      <w:r w:rsidRPr="0017255E">
        <w:rPr>
          <w:sz w:val="24"/>
          <w:szCs w:val="24"/>
          <w:lang w:val="en-US"/>
        </w:rPr>
        <w:t xml:space="preserve">. </w:t>
      </w:r>
      <w:r w:rsidR="00D418CC" w:rsidRPr="00D418CC">
        <w:rPr>
          <w:sz w:val="24"/>
          <w:szCs w:val="24"/>
          <w:lang w:val="en-US"/>
        </w:rPr>
        <w:t xml:space="preserve">№ </w:t>
      </w:r>
      <w:r w:rsidRPr="0017255E">
        <w:rPr>
          <w:sz w:val="24"/>
          <w:szCs w:val="24"/>
          <w:lang w:val="en-US"/>
        </w:rPr>
        <w:t>110, p.</w:t>
      </w:r>
      <w:r w:rsidR="00D418CC">
        <w:rPr>
          <w:sz w:val="24"/>
          <w:szCs w:val="24"/>
        </w:rPr>
        <w:t xml:space="preserve"> </w:t>
      </w:r>
      <w:r w:rsidRPr="0017255E">
        <w:rPr>
          <w:sz w:val="24"/>
          <w:szCs w:val="24"/>
          <w:lang w:val="en-US"/>
        </w:rPr>
        <w:t>8-11</w:t>
      </w:r>
      <w:r w:rsidRPr="00D418CC">
        <w:rPr>
          <w:sz w:val="24"/>
          <w:szCs w:val="24"/>
          <w:lang w:val="en-US"/>
        </w:rPr>
        <w:t>.</w:t>
      </w:r>
    </w:p>
    <w:p w:rsidR="00737856" w:rsidRPr="00396133" w:rsidRDefault="00737856" w:rsidP="00B967B8">
      <w:pPr>
        <w:numPr>
          <w:ilvl w:val="0"/>
          <w:numId w:val="14"/>
        </w:numPr>
        <w:tabs>
          <w:tab w:val="left" w:pos="426"/>
        </w:tabs>
        <w:spacing w:after="0" w:line="276" w:lineRule="auto"/>
        <w:ind w:left="0" w:firstLine="0"/>
        <w:jc w:val="both"/>
        <w:rPr>
          <w:szCs w:val="24"/>
          <w:lang w:val="en-US"/>
        </w:rPr>
      </w:pPr>
      <w:r w:rsidRPr="00396133">
        <w:rPr>
          <w:lang w:val="en-US"/>
        </w:rPr>
        <w:t>http://www.banki.ru/news/bankpress/?id=4501871</w:t>
      </w:r>
    </w:p>
    <w:p w:rsidR="00737856" w:rsidRPr="00396133" w:rsidRDefault="00737856" w:rsidP="00B967B8">
      <w:pPr>
        <w:numPr>
          <w:ilvl w:val="0"/>
          <w:numId w:val="14"/>
        </w:numPr>
        <w:tabs>
          <w:tab w:val="left" w:pos="426"/>
        </w:tabs>
        <w:spacing w:after="0" w:line="276" w:lineRule="auto"/>
        <w:ind w:left="0" w:firstLine="0"/>
        <w:jc w:val="both"/>
        <w:rPr>
          <w:szCs w:val="24"/>
          <w:lang w:val="en-US"/>
        </w:rPr>
      </w:pPr>
      <w:r w:rsidRPr="00396133">
        <w:rPr>
          <w:szCs w:val="24"/>
          <w:lang w:val="en-US"/>
        </w:rPr>
        <w:t>http://www.cbr.ru/press/pr.aspx?file=15072015_190947ik2015-07-15t19_06_47.htm</w:t>
      </w:r>
    </w:p>
    <w:p w:rsidR="00A57259" w:rsidRDefault="00A57259">
      <w:pPr>
        <w:spacing w:after="160" w:line="259" w:lineRule="auto"/>
        <w:ind w:firstLine="0"/>
        <w:rPr>
          <w:rFonts w:eastAsiaTheme="majorEastAsia" w:cstheme="majorBidi"/>
          <w:b/>
          <w:bCs/>
          <w:sz w:val="28"/>
          <w:szCs w:val="28"/>
          <w:lang w:val="en-US"/>
        </w:rPr>
      </w:pPr>
      <w:r>
        <w:rPr>
          <w:lang w:val="en-US"/>
        </w:rPr>
        <w:br w:type="page"/>
      </w:r>
    </w:p>
    <w:p w:rsidR="00DC3E6D" w:rsidRDefault="00DC3E6D" w:rsidP="00D418CC">
      <w:pPr>
        <w:pStyle w:val="1"/>
        <w:spacing w:line="240" w:lineRule="auto"/>
        <w:ind w:left="360" w:firstLine="0"/>
        <w:rPr>
          <w:lang w:val="en-US"/>
        </w:rPr>
      </w:pPr>
      <w:proofErr w:type="spellStart"/>
      <w:r>
        <w:rPr>
          <w:lang w:val="en-US"/>
        </w:rPr>
        <w:lastRenderedPageBreak/>
        <w:t>A.V.Kazansky</w:t>
      </w:r>
      <w:proofErr w:type="spellEnd"/>
    </w:p>
    <w:p w:rsidR="00FD799C" w:rsidRPr="00DC3E6D" w:rsidRDefault="00FD799C" w:rsidP="00FD799C">
      <w:pPr>
        <w:pStyle w:val="1"/>
        <w:spacing w:before="0" w:line="240" w:lineRule="auto"/>
        <w:ind w:left="357" w:firstLine="0"/>
        <w:rPr>
          <w:lang w:val="en-US"/>
        </w:rPr>
      </w:pPr>
      <w:r>
        <w:rPr>
          <w:lang w:val="en-US"/>
        </w:rPr>
        <w:t>Usage of internal</w:t>
      </w:r>
      <w:r w:rsidRPr="00DC3E6D">
        <w:rPr>
          <w:lang w:val="en-US"/>
        </w:rPr>
        <w:t xml:space="preserve"> </w:t>
      </w:r>
      <w:r>
        <w:rPr>
          <w:lang w:val="en-US"/>
        </w:rPr>
        <w:t xml:space="preserve">banking ratings as a factor of Eurasian Financial markets development </w:t>
      </w:r>
    </w:p>
    <w:p w:rsidR="00DC3E6D" w:rsidRPr="00E15D52" w:rsidRDefault="00DC3E6D" w:rsidP="00D418CC">
      <w:pPr>
        <w:spacing w:after="0" w:line="240" w:lineRule="auto"/>
        <w:jc w:val="both"/>
        <w:rPr>
          <w:i/>
          <w:lang w:val="en-US"/>
        </w:rPr>
      </w:pPr>
      <w:r w:rsidRPr="008675E1">
        <w:rPr>
          <w:i/>
          <w:lang w:val="en-US"/>
        </w:rPr>
        <w:t xml:space="preserve">Docent, </w:t>
      </w:r>
      <w:proofErr w:type="spellStart"/>
      <w:r w:rsidRPr="008675E1">
        <w:rPr>
          <w:i/>
          <w:lang w:val="en-US"/>
        </w:rPr>
        <w:t>Ph.D</w:t>
      </w:r>
      <w:proofErr w:type="spellEnd"/>
      <w:r w:rsidRPr="008675E1">
        <w:rPr>
          <w:i/>
          <w:lang w:val="en-US"/>
        </w:rPr>
        <w:t xml:space="preserve"> (Economics and Finance), Chair of Credit Theory and Financial Management, St. Petersburg State University</w:t>
      </w:r>
    </w:p>
    <w:p w:rsidR="00141971" w:rsidRDefault="00141971" w:rsidP="00D418CC">
      <w:pPr>
        <w:spacing w:after="0" w:line="240" w:lineRule="auto"/>
        <w:rPr>
          <w:lang w:val="en-US"/>
        </w:rPr>
      </w:pPr>
      <w:r w:rsidRPr="00DC3E6D">
        <w:rPr>
          <w:lang w:val="en-US"/>
        </w:rPr>
        <w:tab/>
      </w:r>
      <w:r w:rsidRPr="00DC3E6D">
        <w:rPr>
          <w:lang w:val="en-US"/>
        </w:rPr>
        <w:tab/>
      </w:r>
      <w:r w:rsidRPr="00DC3E6D">
        <w:rPr>
          <w:lang w:val="en-US"/>
        </w:rPr>
        <w:tab/>
      </w:r>
      <w:r w:rsidRPr="00DC3E6D">
        <w:rPr>
          <w:lang w:val="en-US"/>
        </w:rPr>
        <w:tab/>
      </w:r>
      <w:r w:rsidRPr="00DC3E6D">
        <w:rPr>
          <w:lang w:val="en-US"/>
        </w:rPr>
        <w:tab/>
      </w:r>
      <w:r w:rsidRPr="00DC3E6D">
        <w:rPr>
          <w:lang w:val="en-US"/>
        </w:rPr>
        <w:tab/>
      </w:r>
      <w:r w:rsidRPr="00DC3E6D">
        <w:rPr>
          <w:lang w:val="en-US"/>
        </w:rPr>
        <w:tab/>
      </w:r>
      <w:r w:rsidR="00DC3E6D">
        <w:rPr>
          <w:b/>
          <w:lang w:val="en-US"/>
        </w:rPr>
        <w:t xml:space="preserve"> </w:t>
      </w:r>
    </w:p>
    <w:p w:rsidR="00141971" w:rsidRPr="00141971" w:rsidRDefault="00141971" w:rsidP="00D418CC">
      <w:pPr>
        <w:spacing w:line="240" w:lineRule="auto"/>
        <w:jc w:val="both"/>
        <w:rPr>
          <w:lang w:val="en-US"/>
        </w:rPr>
      </w:pPr>
      <w:r w:rsidRPr="00141971">
        <w:rPr>
          <w:lang w:val="en-US"/>
        </w:rPr>
        <w:t>The article analyzes the theoretical foundations of building rating systems of commercial banks, internationally accepted standards of Basel. Described as the simplest construction of internal ratings, and more complex mechanisms of ratings based on the probability of default, and quantitative and qualitative performance indicators corporate client Particular attention is given to modification based on the internal systems of classification ratings of reserves for possible losses on loans and risk factors that affect the calculation of capital adequacy (standard CBR N1). Important part of the research is also the consideration of the process of transition to internal rating system, coupled with significant time and cost.</w:t>
      </w:r>
    </w:p>
    <w:p w:rsidR="00141971" w:rsidRPr="00D418CC" w:rsidRDefault="00DC3E6D" w:rsidP="00D418CC">
      <w:pPr>
        <w:spacing w:line="240" w:lineRule="auto"/>
        <w:jc w:val="both"/>
        <w:rPr>
          <w:lang w:val="en-US"/>
        </w:rPr>
      </w:pPr>
      <w:r w:rsidRPr="00D418CC">
        <w:rPr>
          <w:b/>
          <w:lang w:val="en-US"/>
        </w:rPr>
        <w:t>Keywords</w:t>
      </w:r>
      <w:r w:rsidRPr="00DC3E6D">
        <w:rPr>
          <w:lang w:val="en-US"/>
        </w:rPr>
        <w:t>: Basel standards, Tier I capital, capital adequacy, risk of default, internal ratings, reserves for possible losses on loans, risk factors, stress testing, calculation of credit risk exposure, debt service ratios, rating scale, pre-validation, discriminatory ability model</w:t>
      </w:r>
      <w:r w:rsidR="00D418CC" w:rsidRPr="00D418CC">
        <w:rPr>
          <w:lang w:val="en-US"/>
        </w:rPr>
        <w:t>.</w:t>
      </w:r>
    </w:p>
    <w:p w:rsidR="00D378F0" w:rsidRPr="00141971" w:rsidRDefault="00D378F0" w:rsidP="005456DF">
      <w:pPr>
        <w:jc w:val="both"/>
        <w:rPr>
          <w:lang w:val="en-US"/>
        </w:rPr>
      </w:pPr>
    </w:p>
    <w:sectPr w:rsidR="00D378F0" w:rsidRPr="001419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B5" w:rsidRDefault="00FB39B5" w:rsidP="00F11F21">
      <w:pPr>
        <w:spacing w:after="0" w:line="240" w:lineRule="auto"/>
      </w:pPr>
      <w:r>
        <w:separator/>
      </w:r>
    </w:p>
  </w:endnote>
  <w:endnote w:type="continuationSeparator" w:id="0">
    <w:p w:rsidR="00FB39B5" w:rsidRDefault="00FB39B5" w:rsidP="00F1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B5" w:rsidRDefault="00FB39B5" w:rsidP="00F11F21">
      <w:pPr>
        <w:spacing w:after="0" w:line="240" w:lineRule="auto"/>
      </w:pPr>
      <w:r>
        <w:separator/>
      </w:r>
    </w:p>
  </w:footnote>
  <w:footnote w:type="continuationSeparator" w:id="0">
    <w:p w:rsidR="00FB39B5" w:rsidRDefault="00FB39B5" w:rsidP="00F11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081"/>
    <w:multiLevelType w:val="hybridMultilevel"/>
    <w:tmpl w:val="7A6C1BF6"/>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11F08C7"/>
    <w:multiLevelType w:val="hybridMultilevel"/>
    <w:tmpl w:val="F522D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D5D00"/>
    <w:multiLevelType w:val="hybridMultilevel"/>
    <w:tmpl w:val="298AF99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28383786"/>
    <w:multiLevelType w:val="hybridMultilevel"/>
    <w:tmpl w:val="DCB24F6E"/>
    <w:lvl w:ilvl="0" w:tplc="B7B42DD2">
      <w:start w:val="1"/>
      <w:numFmt w:val="lowerLetter"/>
      <w:lvlText w:val="%1)"/>
      <w:lvlJc w:val="left"/>
      <w:pPr>
        <w:ind w:left="1429" w:hanging="360"/>
      </w:pPr>
      <w:rPr>
        <w:rFonts w:ascii="Times New Roman" w:eastAsiaTheme="minorHAnsi" w:hAnsi="Times New Roman" w:cstheme="minorBid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1027F0"/>
    <w:multiLevelType w:val="hybridMultilevel"/>
    <w:tmpl w:val="E79AAA32"/>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9825E79"/>
    <w:multiLevelType w:val="hybridMultilevel"/>
    <w:tmpl w:val="B964AE7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4D5E11"/>
    <w:multiLevelType w:val="hybridMultilevel"/>
    <w:tmpl w:val="11FC5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245773"/>
    <w:multiLevelType w:val="hybridMultilevel"/>
    <w:tmpl w:val="5B900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D43483E"/>
    <w:multiLevelType w:val="hybridMultilevel"/>
    <w:tmpl w:val="887EF03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25649B"/>
    <w:multiLevelType w:val="hybridMultilevel"/>
    <w:tmpl w:val="ACBA0B8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54E6101"/>
    <w:multiLevelType w:val="hybridMultilevel"/>
    <w:tmpl w:val="BD9201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A5493"/>
    <w:multiLevelType w:val="hybridMultilevel"/>
    <w:tmpl w:val="83803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575410"/>
    <w:multiLevelType w:val="hybridMultilevel"/>
    <w:tmpl w:val="549C4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24D4713"/>
    <w:multiLevelType w:val="multilevel"/>
    <w:tmpl w:val="ADCE4298"/>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7F537A26"/>
    <w:multiLevelType w:val="hybridMultilevel"/>
    <w:tmpl w:val="5460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
  </w:num>
  <w:num w:numId="6">
    <w:abstractNumId w:val="4"/>
  </w:num>
  <w:num w:numId="7">
    <w:abstractNumId w:val="12"/>
  </w:num>
  <w:num w:numId="8">
    <w:abstractNumId w:val="14"/>
  </w:num>
  <w:num w:numId="9">
    <w:abstractNumId w:val="3"/>
  </w:num>
  <w:num w:numId="10">
    <w:abstractNumId w:val="0"/>
  </w:num>
  <w:num w:numId="11">
    <w:abstractNumId w:val="8"/>
  </w:num>
  <w:num w:numId="12">
    <w:abstractNumId w:val="11"/>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21"/>
    <w:rsid w:val="00131402"/>
    <w:rsid w:val="00141971"/>
    <w:rsid w:val="00322C4C"/>
    <w:rsid w:val="003D0E1A"/>
    <w:rsid w:val="003E43DE"/>
    <w:rsid w:val="00445FC4"/>
    <w:rsid w:val="005456DF"/>
    <w:rsid w:val="005E4DC6"/>
    <w:rsid w:val="00665CB6"/>
    <w:rsid w:val="00737856"/>
    <w:rsid w:val="007E0068"/>
    <w:rsid w:val="00817F7C"/>
    <w:rsid w:val="008A68F6"/>
    <w:rsid w:val="00907B9D"/>
    <w:rsid w:val="00917E55"/>
    <w:rsid w:val="00973B1C"/>
    <w:rsid w:val="009C107D"/>
    <w:rsid w:val="009E2FCD"/>
    <w:rsid w:val="00A57259"/>
    <w:rsid w:val="00B82002"/>
    <w:rsid w:val="00B967B8"/>
    <w:rsid w:val="00C45AFE"/>
    <w:rsid w:val="00CA738F"/>
    <w:rsid w:val="00D35ED1"/>
    <w:rsid w:val="00D378F0"/>
    <w:rsid w:val="00D418CC"/>
    <w:rsid w:val="00D974FD"/>
    <w:rsid w:val="00DC3E6D"/>
    <w:rsid w:val="00E55337"/>
    <w:rsid w:val="00EA282E"/>
    <w:rsid w:val="00F11F21"/>
    <w:rsid w:val="00F93BC6"/>
    <w:rsid w:val="00FB39B5"/>
    <w:rsid w:val="00FD799C"/>
    <w:rsid w:val="00FE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иплом основной текст"/>
    <w:qFormat/>
    <w:rsid w:val="00F11F21"/>
    <w:pPr>
      <w:spacing w:after="200" w:line="360" w:lineRule="auto"/>
      <w:ind w:firstLine="709"/>
    </w:pPr>
    <w:rPr>
      <w:rFonts w:ascii="Times New Roman" w:hAnsi="Times New Roman"/>
      <w:sz w:val="24"/>
    </w:rPr>
  </w:style>
  <w:style w:type="paragraph" w:styleId="1">
    <w:name w:val="heading 1"/>
    <w:aliases w:val="Диплом заголовок"/>
    <w:basedOn w:val="a"/>
    <w:next w:val="a"/>
    <w:link w:val="10"/>
    <w:uiPriority w:val="9"/>
    <w:qFormat/>
    <w:rsid w:val="00F11F21"/>
    <w:pPr>
      <w:keepNext/>
      <w:keepLines/>
      <w:spacing w:before="480" w:after="0"/>
      <w:outlineLvl w:val="0"/>
    </w:pPr>
    <w:rPr>
      <w:rFonts w:eastAsiaTheme="majorEastAsia" w:cstheme="majorBidi"/>
      <w:b/>
      <w:bCs/>
      <w:sz w:val="28"/>
      <w:szCs w:val="28"/>
    </w:rPr>
  </w:style>
  <w:style w:type="paragraph" w:styleId="2">
    <w:name w:val="heading 2"/>
    <w:aliases w:val="Параграф"/>
    <w:basedOn w:val="a"/>
    <w:next w:val="a"/>
    <w:link w:val="20"/>
    <w:uiPriority w:val="9"/>
    <w:unhideWhenUsed/>
    <w:qFormat/>
    <w:rsid w:val="00F11F21"/>
    <w:pPr>
      <w:keepNext/>
      <w:keepLines/>
      <w:spacing w:before="200" w:after="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Диплом заголовок Знак"/>
    <w:basedOn w:val="a0"/>
    <w:link w:val="1"/>
    <w:uiPriority w:val="9"/>
    <w:rsid w:val="00F11F21"/>
    <w:rPr>
      <w:rFonts w:ascii="Times New Roman" w:eastAsiaTheme="majorEastAsia" w:hAnsi="Times New Roman" w:cstheme="majorBidi"/>
      <w:b/>
      <w:bCs/>
      <w:sz w:val="28"/>
      <w:szCs w:val="28"/>
    </w:rPr>
  </w:style>
  <w:style w:type="character" w:customStyle="1" w:styleId="20">
    <w:name w:val="Заголовок 2 Знак"/>
    <w:aliases w:val="Параграф Знак"/>
    <w:basedOn w:val="a0"/>
    <w:link w:val="2"/>
    <w:uiPriority w:val="9"/>
    <w:rsid w:val="00F11F21"/>
    <w:rPr>
      <w:rFonts w:ascii="Times New Roman" w:eastAsiaTheme="majorEastAsia" w:hAnsi="Times New Roman" w:cstheme="majorBidi"/>
      <w:b/>
      <w:bCs/>
      <w:sz w:val="24"/>
      <w:szCs w:val="26"/>
    </w:rPr>
  </w:style>
  <w:style w:type="paragraph" w:styleId="a3">
    <w:name w:val="List Paragraph"/>
    <w:basedOn w:val="a"/>
    <w:uiPriority w:val="34"/>
    <w:qFormat/>
    <w:rsid w:val="00F11F21"/>
    <w:pPr>
      <w:ind w:left="720"/>
      <w:contextualSpacing/>
    </w:pPr>
  </w:style>
  <w:style w:type="table" w:styleId="a4">
    <w:name w:val="Table Grid"/>
    <w:basedOn w:val="a1"/>
    <w:uiPriority w:val="59"/>
    <w:rsid w:val="00F11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aliases w:val="ДЛЯ таблиц"/>
    <w:basedOn w:val="a"/>
    <w:next w:val="a"/>
    <w:uiPriority w:val="1"/>
    <w:qFormat/>
    <w:rsid w:val="00F11F21"/>
    <w:pPr>
      <w:spacing w:after="0" w:line="240" w:lineRule="auto"/>
      <w:ind w:firstLine="0"/>
    </w:pPr>
    <w:rPr>
      <w:sz w:val="16"/>
    </w:rPr>
  </w:style>
  <w:style w:type="paragraph" w:styleId="a6">
    <w:name w:val="footnote text"/>
    <w:basedOn w:val="a"/>
    <w:link w:val="a7"/>
    <w:uiPriority w:val="99"/>
    <w:unhideWhenUsed/>
    <w:rsid w:val="00F11F21"/>
    <w:pPr>
      <w:spacing w:after="0" w:line="240" w:lineRule="auto"/>
    </w:pPr>
    <w:rPr>
      <w:sz w:val="20"/>
      <w:szCs w:val="20"/>
    </w:rPr>
  </w:style>
  <w:style w:type="character" w:customStyle="1" w:styleId="a7">
    <w:name w:val="Текст сноски Знак"/>
    <w:basedOn w:val="a0"/>
    <w:link w:val="a6"/>
    <w:uiPriority w:val="99"/>
    <w:rsid w:val="00F11F21"/>
    <w:rPr>
      <w:rFonts w:ascii="Times New Roman" w:hAnsi="Times New Roman"/>
      <w:sz w:val="20"/>
      <w:szCs w:val="20"/>
    </w:rPr>
  </w:style>
  <w:style w:type="character" w:styleId="a8">
    <w:name w:val="footnote reference"/>
    <w:basedOn w:val="a0"/>
    <w:uiPriority w:val="99"/>
    <w:semiHidden/>
    <w:unhideWhenUsed/>
    <w:rsid w:val="00F11F21"/>
    <w:rPr>
      <w:vertAlign w:val="superscript"/>
    </w:rPr>
  </w:style>
  <w:style w:type="paragraph" w:styleId="21">
    <w:name w:val="Body Text 2"/>
    <w:basedOn w:val="a"/>
    <w:link w:val="22"/>
    <w:unhideWhenUsed/>
    <w:rsid w:val="00737856"/>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rsid w:val="00737856"/>
    <w:rPr>
      <w:rFonts w:ascii="Calibri" w:eastAsia="Calibri" w:hAnsi="Calibri" w:cs="Times New Roman"/>
    </w:rPr>
  </w:style>
  <w:style w:type="paragraph" w:styleId="23">
    <w:name w:val="Body Text Indent 2"/>
    <w:basedOn w:val="a"/>
    <w:link w:val="24"/>
    <w:unhideWhenUsed/>
    <w:rsid w:val="00737856"/>
    <w:pPr>
      <w:spacing w:after="120" w:line="480" w:lineRule="auto"/>
      <w:ind w:left="283" w:firstLine="0"/>
    </w:pPr>
    <w:rPr>
      <w:rFonts w:ascii="Calibri" w:eastAsia="Calibri" w:hAnsi="Calibri" w:cs="Times New Roman"/>
      <w:sz w:val="22"/>
    </w:rPr>
  </w:style>
  <w:style w:type="character" w:customStyle="1" w:styleId="24">
    <w:name w:val="Основной текст с отступом 2 Знак"/>
    <w:basedOn w:val="a0"/>
    <w:link w:val="23"/>
    <w:rsid w:val="00737856"/>
    <w:rPr>
      <w:rFonts w:ascii="Calibri" w:eastAsia="Calibri" w:hAnsi="Calibri" w:cs="Times New Roman"/>
    </w:rPr>
  </w:style>
  <w:style w:type="character" w:customStyle="1" w:styleId="apple-converted-space">
    <w:name w:val="apple-converted-space"/>
    <w:basedOn w:val="a0"/>
    <w:rsid w:val="00737856"/>
  </w:style>
  <w:style w:type="character" w:styleId="a9">
    <w:name w:val="Hyperlink"/>
    <w:basedOn w:val="a0"/>
    <w:uiPriority w:val="99"/>
    <w:semiHidden/>
    <w:unhideWhenUsed/>
    <w:rsid w:val="00737856"/>
    <w:rPr>
      <w:color w:val="0000FF"/>
      <w:u w:val="single"/>
    </w:rPr>
  </w:style>
  <w:style w:type="paragraph" w:styleId="aa">
    <w:name w:val="Balloon Text"/>
    <w:basedOn w:val="a"/>
    <w:link w:val="ab"/>
    <w:uiPriority w:val="99"/>
    <w:semiHidden/>
    <w:unhideWhenUsed/>
    <w:rsid w:val="00B967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иплом основной текст"/>
    <w:qFormat/>
    <w:rsid w:val="00F11F21"/>
    <w:pPr>
      <w:spacing w:after="200" w:line="360" w:lineRule="auto"/>
      <w:ind w:firstLine="709"/>
    </w:pPr>
    <w:rPr>
      <w:rFonts w:ascii="Times New Roman" w:hAnsi="Times New Roman"/>
      <w:sz w:val="24"/>
    </w:rPr>
  </w:style>
  <w:style w:type="paragraph" w:styleId="1">
    <w:name w:val="heading 1"/>
    <w:aliases w:val="Диплом заголовок"/>
    <w:basedOn w:val="a"/>
    <w:next w:val="a"/>
    <w:link w:val="10"/>
    <w:uiPriority w:val="9"/>
    <w:qFormat/>
    <w:rsid w:val="00F11F21"/>
    <w:pPr>
      <w:keepNext/>
      <w:keepLines/>
      <w:spacing w:before="480" w:after="0"/>
      <w:outlineLvl w:val="0"/>
    </w:pPr>
    <w:rPr>
      <w:rFonts w:eastAsiaTheme="majorEastAsia" w:cstheme="majorBidi"/>
      <w:b/>
      <w:bCs/>
      <w:sz w:val="28"/>
      <w:szCs w:val="28"/>
    </w:rPr>
  </w:style>
  <w:style w:type="paragraph" w:styleId="2">
    <w:name w:val="heading 2"/>
    <w:aliases w:val="Параграф"/>
    <w:basedOn w:val="a"/>
    <w:next w:val="a"/>
    <w:link w:val="20"/>
    <w:uiPriority w:val="9"/>
    <w:unhideWhenUsed/>
    <w:qFormat/>
    <w:rsid w:val="00F11F21"/>
    <w:pPr>
      <w:keepNext/>
      <w:keepLines/>
      <w:spacing w:before="200" w:after="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Диплом заголовок Знак"/>
    <w:basedOn w:val="a0"/>
    <w:link w:val="1"/>
    <w:uiPriority w:val="9"/>
    <w:rsid w:val="00F11F21"/>
    <w:rPr>
      <w:rFonts w:ascii="Times New Roman" w:eastAsiaTheme="majorEastAsia" w:hAnsi="Times New Roman" w:cstheme="majorBidi"/>
      <w:b/>
      <w:bCs/>
      <w:sz w:val="28"/>
      <w:szCs w:val="28"/>
    </w:rPr>
  </w:style>
  <w:style w:type="character" w:customStyle="1" w:styleId="20">
    <w:name w:val="Заголовок 2 Знак"/>
    <w:aliases w:val="Параграф Знак"/>
    <w:basedOn w:val="a0"/>
    <w:link w:val="2"/>
    <w:uiPriority w:val="9"/>
    <w:rsid w:val="00F11F21"/>
    <w:rPr>
      <w:rFonts w:ascii="Times New Roman" w:eastAsiaTheme="majorEastAsia" w:hAnsi="Times New Roman" w:cstheme="majorBidi"/>
      <w:b/>
      <w:bCs/>
      <w:sz w:val="24"/>
      <w:szCs w:val="26"/>
    </w:rPr>
  </w:style>
  <w:style w:type="paragraph" w:styleId="a3">
    <w:name w:val="List Paragraph"/>
    <w:basedOn w:val="a"/>
    <w:uiPriority w:val="34"/>
    <w:qFormat/>
    <w:rsid w:val="00F11F21"/>
    <w:pPr>
      <w:ind w:left="720"/>
      <w:contextualSpacing/>
    </w:pPr>
  </w:style>
  <w:style w:type="table" w:styleId="a4">
    <w:name w:val="Table Grid"/>
    <w:basedOn w:val="a1"/>
    <w:uiPriority w:val="59"/>
    <w:rsid w:val="00F11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aliases w:val="ДЛЯ таблиц"/>
    <w:basedOn w:val="a"/>
    <w:next w:val="a"/>
    <w:uiPriority w:val="1"/>
    <w:qFormat/>
    <w:rsid w:val="00F11F21"/>
    <w:pPr>
      <w:spacing w:after="0" w:line="240" w:lineRule="auto"/>
      <w:ind w:firstLine="0"/>
    </w:pPr>
    <w:rPr>
      <w:sz w:val="16"/>
    </w:rPr>
  </w:style>
  <w:style w:type="paragraph" w:styleId="a6">
    <w:name w:val="footnote text"/>
    <w:basedOn w:val="a"/>
    <w:link w:val="a7"/>
    <w:uiPriority w:val="99"/>
    <w:unhideWhenUsed/>
    <w:rsid w:val="00F11F21"/>
    <w:pPr>
      <w:spacing w:after="0" w:line="240" w:lineRule="auto"/>
    </w:pPr>
    <w:rPr>
      <w:sz w:val="20"/>
      <w:szCs w:val="20"/>
    </w:rPr>
  </w:style>
  <w:style w:type="character" w:customStyle="1" w:styleId="a7">
    <w:name w:val="Текст сноски Знак"/>
    <w:basedOn w:val="a0"/>
    <w:link w:val="a6"/>
    <w:uiPriority w:val="99"/>
    <w:rsid w:val="00F11F21"/>
    <w:rPr>
      <w:rFonts w:ascii="Times New Roman" w:hAnsi="Times New Roman"/>
      <w:sz w:val="20"/>
      <w:szCs w:val="20"/>
    </w:rPr>
  </w:style>
  <w:style w:type="character" w:styleId="a8">
    <w:name w:val="footnote reference"/>
    <w:basedOn w:val="a0"/>
    <w:uiPriority w:val="99"/>
    <w:semiHidden/>
    <w:unhideWhenUsed/>
    <w:rsid w:val="00F11F21"/>
    <w:rPr>
      <w:vertAlign w:val="superscript"/>
    </w:rPr>
  </w:style>
  <w:style w:type="paragraph" w:styleId="21">
    <w:name w:val="Body Text 2"/>
    <w:basedOn w:val="a"/>
    <w:link w:val="22"/>
    <w:unhideWhenUsed/>
    <w:rsid w:val="00737856"/>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rsid w:val="00737856"/>
    <w:rPr>
      <w:rFonts w:ascii="Calibri" w:eastAsia="Calibri" w:hAnsi="Calibri" w:cs="Times New Roman"/>
    </w:rPr>
  </w:style>
  <w:style w:type="paragraph" w:styleId="23">
    <w:name w:val="Body Text Indent 2"/>
    <w:basedOn w:val="a"/>
    <w:link w:val="24"/>
    <w:unhideWhenUsed/>
    <w:rsid w:val="00737856"/>
    <w:pPr>
      <w:spacing w:after="120" w:line="480" w:lineRule="auto"/>
      <w:ind w:left="283" w:firstLine="0"/>
    </w:pPr>
    <w:rPr>
      <w:rFonts w:ascii="Calibri" w:eastAsia="Calibri" w:hAnsi="Calibri" w:cs="Times New Roman"/>
      <w:sz w:val="22"/>
    </w:rPr>
  </w:style>
  <w:style w:type="character" w:customStyle="1" w:styleId="24">
    <w:name w:val="Основной текст с отступом 2 Знак"/>
    <w:basedOn w:val="a0"/>
    <w:link w:val="23"/>
    <w:rsid w:val="00737856"/>
    <w:rPr>
      <w:rFonts w:ascii="Calibri" w:eastAsia="Calibri" w:hAnsi="Calibri" w:cs="Times New Roman"/>
    </w:rPr>
  </w:style>
  <w:style w:type="character" w:customStyle="1" w:styleId="apple-converted-space">
    <w:name w:val="apple-converted-space"/>
    <w:basedOn w:val="a0"/>
    <w:rsid w:val="00737856"/>
  </w:style>
  <w:style w:type="character" w:styleId="a9">
    <w:name w:val="Hyperlink"/>
    <w:basedOn w:val="a0"/>
    <w:uiPriority w:val="99"/>
    <w:semiHidden/>
    <w:unhideWhenUsed/>
    <w:rsid w:val="00737856"/>
    <w:rPr>
      <w:color w:val="0000FF"/>
      <w:u w:val="single"/>
    </w:rPr>
  </w:style>
  <w:style w:type="paragraph" w:styleId="aa">
    <w:name w:val="Balloon Text"/>
    <w:basedOn w:val="a"/>
    <w:link w:val="ab"/>
    <w:uiPriority w:val="99"/>
    <w:semiHidden/>
    <w:unhideWhenUsed/>
    <w:rsid w:val="00B967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3</cp:revision>
  <dcterms:created xsi:type="dcterms:W3CDTF">2019-05-30T22:35:00Z</dcterms:created>
  <dcterms:modified xsi:type="dcterms:W3CDTF">2019-06-08T14:18:00Z</dcterms:modified>
</cp:coreProperties>
</file>