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3" w:rsidRPr="001420C3" w:rsidRDefault="001420C3" w:rsidP="001420C3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ТЕЗИСЫ ДОКЛАДА</w:t>
      </w:r>
    </w:p>
    <w:p w:rsidR="001420C3" w:rsidRPr="001420C3" w:rsidRDefault="001420C3" w:rsidP="001420C3">
      <w:pPr>
        <w:widowControl w:val="0"/>
        <w:autoSpaceDE w:val="0"/>
        <w:autoSpaceDN w:val="0"/>
        <w:spacing w:after="0" w:line="240" w:lineRule="auto"/>
        <w:ind w:right="224" w:firstLine="709"/>
        <w:jc w:val="right"/>
        <w:rPr>
          <w:rFonts w:ascii="Times New Roman" w:eastAsia="Georgia" w:hAnsi="Times New Roman" w:cs="Times New Roman"/>
          <w:b/>
          <w:sz w:val="32"/>
          <w:szCs w:val="32"/>
          <w:lang w:eastAsia="ru-RU" w:bidi="ru-RU"/>
        </w:rPr>
      </w:pPr>
      <w:r w:rsidRPr="001420C3">
        <w:rPr>
          <w:rFonts w:ascii="Times New Roman" w:eastAsia="Georgia" w:hAnsi="Times New Roman" w:cs="Times New Roman"/>
          <w:b/>
          <w:sz w:val="32"/>
          <w:szCs w:val="32"/>
          <w:lang w:eastAsia="ru-RU" w:bidi="ru-RU"/>
        </w:rPr>
        <w:t>Медынский С.</w:t>
      </w:r>
    </w:p>
    <w:p w:rsidR="001420C3" w:rsidRPr="001420C3" w:rsidRDefault="001420C3" w:rsidP="001420C3">
      <w:pPr>
        <w:widowControl w:val="0"/>
        <w:autoSpaceDE w:val="0"/>
        <w:autoSpaceDN w:val="0"/>
        <w:spacing w:after="0" w:line="240" w:lineRule="auto"/>
        <w:ind w:right="224" w:firstLine="709"/>
        <w:jc w:val="right"/>
        <w:rPr>
          <w:rFonts w:ascii="Times New Roman" w:eastAsia="Georgia" w:hAnsi="Times New Roman" w:cs="Times New Roman"/>
          <w:b/>
          <w:sz w:val="32"/>
          <w:szCs w:val="32"/>
          <w:lang w:eastAsia="ru-RU" w:bidi="ru-RU"/>
        </w:rPr>
      </w:pPr>
    </w:p>
    <w:p w:rsidR="001420C3" w:rsidRPr="001420C3" w:rsidRDefault="001420C3" w:rsidP="001420C3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14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ЕВРАЗИЙСКАЯ ИНТЕГРАЦИЯ В УСЛОВИЯХ ЦИФРОВИЗАЦИИ: ПРОБЛЕМЫ И ПЕРСПЕКТИВЫ</w:t>
      </w:r>
    </w:p>
    <w:p w:rsidR="001420C3" w:rsidRPr="001420C3" w:rsidRDefault="001420C3" w:rsidP="001420C3">
      <w:pPr>
        <w:adjustRightInd w:val="0"/>
        <w:spacing w:line="360" w:lineRule="auto"/>
        <w:ind w:left="-284" w:firstLine="641"/>
        <w:contextualSpacing/>
        <w:rPr>
          <w:rFonts w:ascii="Times New Roman" w:eastAsia="Cyrvetica-ExtraLight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евразийская интеграция является приоритетной внешнеполитической задачей для государств Большой Евразии.</w:t>
      </w:r>
    </w:p>
    <w:p w:rsidR="001420C3" w:rsidRPr="001420C3" w:rsidRDefault="001420C3" w:rsidP="001420C3">
      <w:pPr>
        <w:adjustRightInd w:val="0"/>
        <w:spacing w:line="360" w:lineRule="auto"/>
        <w:ind w:left="-284" w:firstLine="6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Характеризуя развитие процесса евразийской интеграции и, опираясь на мировой опыт инновационного развития, можно сказать, что важнейшим условием успешной инновационной деятельности в условиях </w:t>
      </w: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полная системность применяемых мер и действий со стороны всех участников интеграционных процессов. </w:t>
      </w:r>
    </w:p>
    <w:p w:rsidR="001420C3" w:rsidRPr="001420C3" w:rsidRDefault="001420C3" w:rsidP="001420C3">
      <w:pPr>
        <w:adjustRightInd w:val="0"/>
        <w:spacing w:line="360" w:lineRule="auto"/>
        <w:ind w:left="-284" w:firstLine="641"/>
        <w:contextualSpacing/>
        <w:rPr>
          <w:rFonts w:ascii="Times New Roman" w:eastAsia="Cyrvetica-ExtraLight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Никакая модернизация и инновационное развитие страны невозможны без соответствующего научного сопровождения. Актуальные научные знания становятся основным фактором обеспечения устойчивого развития евразийских государств в условиях </w:t>
      </w: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C3" w:rsidRPr="001420C3" w:rsidRDefault="001420C3" w:rsidP="001420C3">
      <w:pPr>
        <w:adjustRightInd w:val="0"/>
        <w:spacing w:line="360" w:lineRule="auto"/>
        <w:ind w:left="-284" w:firstLine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НТР непрерывно совершенствуются информационные технологии, расширяются межкультурные коммуникации, усиливается мобильность населения различных регионов мира, идут иные </w:t>
      </w: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глобализационные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процессы.</w:t>
      </w:r>
    </w:p>
    <w:p w:rsidR="001420C3" w:rsidRPr="001420C3" w:rsidRDefault="001420C3" w:rsidP="001420C3">
      <w:pPr>
        <w:spacing w:line="360" w:lineRule="auto"/>
        <w:ind w:left="-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знаем, что  формирование Единого экономического пространства   обеспечивает «четыре свободы»: движения товаров, услуг, капиталов и рабочей силы на территории Таможенного союза и Единого экономического пространства [5,37].</w:t>
      </w:r>
    </w:p>
    <w:p w:rsidR="001420C3" w:rsidRPr="001420C3" w:rsidRDefault="001420C3" w:rsidP="001420C3">
      <w:pPr>
        <w:spacing w:line="360" w:lineRule="auto"/>
        <w:ind w:left="-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в Евразийский экономический союз – это взаимодействие, сотрудничество, объединение и интернационализация хозяйственной деятельности, новая целостность экономик, стран-участниц этого союза. </w:t>
      </w:r>
    </w:p>
    <w:p w:rsidR="001420C3" w:rsidRPr="001420C3" w:rsidRDefault="001420C3" w:rsidP="001420C3">
      <w:pPr>
        <w:spacing w:line="360" w:lineRule="auto"/>
        <w:ind w:left="-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целесообразность формирования Единого экономического пространства, обусловлена рядом объективных преимуществ интеграции. Наряду с расширением рынка сбыта товаров, формирование единой таможенной территории создает условия для восстановления трансграничной </w:t>
      </w: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научно-технической и производственной кооперации предприятий, выпускающих продукцию с высокой добавленной стоимостью [2, 63].</w:t>
      </w:r>
    </w:p>
    <w:p w:rsidR="001420C3" w:rsidRPr="001420C3" w:rsidRDefault="001420C3" w:rsidP="001420C3">
      <w:pPr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развитие научно-образовательных систем ЕАЭС должно быть связано с интеграционными процессами, позволяющими достигать синергетических эффектов за счет объединения и координации в Евразийском союзе деятельности различных элементов образовательной, научной и бизнес инфраструктуры. </w:t>
      </w:r>
    </w:p>
    <w:p w:rsidR="001420C3" w:rsidRPr="001420C3" w:rsidRDefault="001420C3" w:rsidP="001420C3">
      <w:pPr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цифровая революция охватила практически все виды деятельности и вовлекла в свою орбиту большую часть человечества.</w:t>
      </w:r>
    </w:p>
    <w:p w:rsidR="001420C3" w:rsidRPr="001420C3" w:rsidRDefault="001420C3" w:rsidP="001420C3">
      <w:pPr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охватили практически всю информационную, финансовую,  значительную часть производственной, а также социальную сферы.</w:t>
      </w:r>
      <w:proofErr w:type="gramEnd"/>
    </w:p>
    <w:p w:rsidR="001420C3" w:rsidRPr="001420C3" w:rsidRDefault="001420C3" w:rsidP="001420C3">
      <w:pPr>
        <w:spacing w:before="100" w:beforeAutospacing="1" w:after="100" w:afterAutospacing="1" w:line="360" w:lineRule="auto"/>
        <w:ind w:left="-284" w:right="28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трансформация экономики — одно из основных условий развития Евразийского экономического союза как современного интеграционного формата. Цифровые преобразования опираются на изменения, связанные с внедрением информационных и коммуникационных технологий. Своевременность формирования точек цифровых преобразований и трансграничного права в цифровой экономике объясняется скоростью роста цифрового рынка и тем, что национальное регулирование в этой сфере на сегодня у всех пяти стран находится в стадии становления.[3]</w:t>
      </w:r>
    </w:p>
    <w:p w:rsidR="001420C3" w:rsidRPr="001420C3" w:rsidRDefault="001420C3" w:rsidP="001420C3">
      <w:pPr>
        <w:tabs>
          <w:tab w:val="left" w:pos="9072"/>
        </w:tabs>
        <w:spacing w:before="100" w:beforeAutospacing="1" w:after="100" w:afterAutospacing="1" w:line="360" w:lineRule="auto"/>
        <w:ind w:left="-284" w:right="28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Блокчейн</w:t>
      </w:r>
      <w:proofErr w:type="spellEnd"/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агрессивно развивающееся направление во всех сферах производства товаров и услуг.</w:t>
      </w:r>
    </w:p>
    <w:p w:rsidR="001420C3" w:rsidRPr="001420C3" w:rsidRDefault="001420C3" w:rsidP="001420C3">
      <w:pPr>
        <w:tabs>
          <w:tab w:val="left" w:pos="9072"/>
        </w:tabs>
        <w:spacing w:before="100" w:beforeAutospacing="1" w:after="100" w:afterAutospacing="1" w:line="360" w:lineRule="auto"/>
        <w:ind w:left="-284" w:right="28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научно-образовательные и бизнес структуры, используя </w:t>
      </w: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 и умные контракты, могут отказаться от государственных систем защиты своих интересов. </w:t>
      </w:r>
    </w:p>
    <w:p w:rsidR="001420C3" w:rsidRPr="001420C3" w:rsidRDefault="001420C3" w:rsidP="001420C3">
      <w:pPr>
        <w:tabs>
          <w:tab w:val="left" w:pos="9072"/>
        </w:tabs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</w:t>
      </w:r>
      <w:r w:rsidRPr="001420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технологии </w:t>
      </w:r>
      <w:proofErr w:type="spellStart"/>
      <w:r w:rsidRPr="001420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блокчейна</w:t>
      </w:r>
      <w:proofErr w:type="spellEnd"/>
      <w:r w:rsidRPr="001420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— это прорыв с очень серьезными последствиями, которые затронут не только сферы финансов и промышленную отрасль, но и сферу образовательных услуг во всем мире.</w:t>
      </w:r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0C3" w:rsidRPr="001420C3" w:rsidRDefault="001420C3" w:rsidP="001420C3">
      <w:pPr>
        <w:tabs>
          <w:tab w:val="left" w:pos="9072"/>
        </w:tabs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ближайшие годы на Евразийском рынке будут особенно востребованы наукоемкие решения, которые требуют высокого уровня квалификации разработчиков, а это главное преимущество российских специалистов.</w:t>
      </w:r>
    </w:p>
    <w:p w:rsidR="001420C3" w:rsidRPr="001420C3" w:rsidRDefault="001420C3" w:rsidP="001420C3">
      <w:pPr>
        <w:spacing w:before="100" w:beforeAutospacing="1" w:after="100" w:afterAutospacing="1" w:line="360" w:lineRule="auto"/>
        <w:ind w:left="-284" w:righ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Евразийская интеграция является приоритетным направлением во внешней политике России. Находясь в </w:t>
      </w:r>
      <w:proofErr w:type="spellStart"/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санкционной</w:t>
      </w:r>
      <w:proofErr w:type="spellEnd"/>
      <w:r w:rsidRPr="00142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изоляции со стороны Запада, наше государство будет стремиться к широкому развитию и росту ЕАЭС. [4]</w:t>
      </w:r>
    </w:p>
    <w:p w:rsidR="001420C3" w:rsidRPr="001420C3" w:rsidRDefault="001420C3" w:rsidP="001420C3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возникающих проблем будет способствовать формированию концепции устойчивого, стабильного развития Евразийского экономического союза,  позволит выявить оптимальное сочетание наиболее эффективных методов и механизмов регулирования экономических систем в условиях кризиса и нестабильности, включая государственные, рыночные, смешанные, глобально-сетевые, призванные  определить «узловые точки» инновационного роста, и набор методов реализации конкурентных преимуществ экономики ЕАЭС в системе современной мировой экономики. </w:t>
      </w:r>
      <w:proofErr w:type="gramEnd"/>
    </w:p>
    <w:p w:rsidR="001420C3" w:rsidRPr="001420C3" w:rsidRDefault="001420C3" w:rsidP="001420C3">
      <w:pPr>
        <w:spacing w:line="240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1420C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Литература</w:t>
      </w:r>
    </w:p>
    <w:p w:rsidR="001420C3" w:rsidRPr="001420C3" w:rsidRDefault="001420C3" w:rsidP="001420C3">
      <w:pPr>
        <w:adjustRightInd w:val="0"/>
        <w:rPr>
          <w:rFonts w:ascii="Times New Roman" w:eastAsia="Cyrvetica-ExtraLight" w:hAnsi="Times New Roman" w:cs="Times New Roman"/>
          <w:sz w:val="28"/>
          <w:szCs w:val="28"/>
          <w:lang w:eastAsia="ru-RU"/>
        </w:rPr>
      </w:pPr>
    </w:p>
    <w:p w:rsidR="001420C3" w:rsidRPr="001420C3" w:rsidRDefault="001420C3" w:rsidP="00142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24"/>
        <w:contextualSpacing/>
        <w:jc w:val="both"/>
        <w:rPr>
          <w:rFonts w:ascii="Times New Roman" w:eastAsia="Cyrvetica-ExtraLight" w:hAnsi="Times New Roman" w:cs="Times New Roman"/>
          <w:sz w:val="28"/>
          <w:szCs w:val="28"/>
          <w:lang w:eastAsia="ru-RU" w:bidi="ru-RU"/>
        </w:rPr>
      </w:pPr>
      <w:proofErr w:type="spellStart"/>
      <w:r w:rsidRPr="001420C3">
        <w:rPr>
          <w:rFonts w:ascii="Times New Roman" w:eastAsia="Cyrvetica-ExtraLight" w:hAnsi="Times New Roman" w:cs="Times New Roman"/>
          <w:sz w:val="28"/>
          <w:szCs w:val="28"/>
          <w:lang w:eastAsia="ru-RU" w:bidi="ru-RU"/>
        </w:rPr>
        <w:t>Газизуллин</w:t>
      </w:r>
      <w:proofErr w:type="spellEnd"/>
      <w:r w:rsidRPr="001420C3">
        <w:rPr>
          <w:rFonts w:ascii="Times New Roman" w:eastAsia="Cyrvetica-ExtraLight" w:hAnsi="Times New Roman" w:cs="Times New Roman"/>
          <w:sz w:val="28"/>
          <w:szCs w:val="28"/>
          <w:lang w:eastAsia="ru-RU" w:bidi="ru-RU"/>
        </w:rPr>
        <w:t xml:space="preserve"> Ф.Г., </w:t>
      </w:r>
      <w:proofErr w:type="spellStart"/>
      <w:r w:rsidRPr="001420C3">
        <w:rPr>
          <w:rFonts w:ascii="Times New Roman" w:eastAsia="Cyrvetica-ExtraLight" w:hAnsi="Times New Roman" w:cs="Times New Roman"/>
          <w:sz w:val="28"/>
          <w:szCs w:val="28"/>
          <w:lang w:eastAsia="ru-RU" w:bidi="ru-RU"/>
        </w:rPr>
        <w:t>Газизуллин</w:t>
      </w:r>
      <w:proofErr w:type="spellEnd"/>
      <w:r w:rsidRPr="001420C3">
        <w:rPr>
          <w:rFonts w:ascii="Times New Roman" w:eastAsia="Cyrvetica-ExtraLight" w:hAnsi="Times New Roman" w:cs="Times New Roman"/>
          <w:sz w:val="28"/>
          <w:szCs w:val="28"/>
          <w:lang w:eastAsia="ru-RU" w:bidi="ru-RU"/>
        </w:rPr>
        <w:t xml:space="preserve"> Н.Ф. Инновационные институциональные прорывы — доминанты развития экономики России в условиях новой индустриализации // Проблемы современной экономики. — 2013. — ¹ 2 (46).</w:t>
      </w:r>
    </w:p>
    <w:p w:rsidR="001420C3" w:rsidRPr="001420C3" w:rsidRDefault="001420C3" w:rsidP="001420C3">
      <w:pPr>
        <w:numPr>
          <w:ilvl w:val="0"/>
          <w:numId w:val="1"/>
        </w:numPr>
        <w:tabs>
          <w:tab w:val="left" w:pos="0"/>
          <w:tab w:val="left" w:pos="426"/>
        </w:tabs>
        <w:autoSpaceDN w:val="0"/>
        <w:spacing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Глазьев С.Ю. </w:t>
      </w:r>
      <w:r w:rsidRPr="001420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Перспективы Единого экономического пространства и </w:t>
      </w:r>
      <w:proofErr w:type="spellStart"/>
      <w:proofErr w:type="gramStart"/>
      <w:r w:rsidRPr="001420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Евра</w:t>
      </w:r>
      <w:proofErr w:type="spellEnd"/>
      <w:r w:rsidRPr="001420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1420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зийского</w:t>
      </w:r>
      <w:proofErr w:type="spellEnd"/>
      <w:proofErr w:type="gramEnd"/>
      <w:r w:rsidRPr="001420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союза/ </w:t>
      </w:r>
      <w:r w:rsidRPr="001420C3">
        <w:rPr>
          <w:rFonts w:ascii="Times New Roman" w:eastAsia="Georgia" w:hAnsi="Times New Roman" w:cs="Times New Roman"/>
          <w:sz w:val="28"/>
          <w:szCs w:val="28"/>
          <w:shd w:val="clear" w:color="auto" w:fill="FFFFFF"/>
          <w:lang w:eastAsia="ru-RU" w:bidi="ru-RU"/>
        </w:rPr>
        <w:t>www.dynacon.ru/content/articles/2530/</w:t>
      </w:r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2017 г.</w:t>
      </w:r>
    </w:p>
    <w:p w:rsidR="001420C3" w:rsidRPr="001420C3" w:rsidRDefault="001420C3" w:rsidP="001420C3">
      <w:pPr>
        <w:numPr>
          <w:ilvl w:val="0"/>
          <w:numId w:val="1"/>
        </w:numPr>
        <w:tabs>
          <w:tab w:val="left" w:pos="284"/>
        </w:tabs>
        <w:autoSpaceDN w:val="0"/>
        <w:spacing w:after="0" w:line="360" w:lineRule="auto"/>
        <w:ind w:right="283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ru-RU" w:bidi="ru-RU"/>
        </w:rPr>
      </w:pPr>
      <w:r w:rsidRPr="001420C3">
        <w:rPr>
          <w:rFonts w:ascii="Times New Roman" w:eastAsia="Georgia" w:hAnsi="Times New Roman" w:cs="Times New Roman"/>
          <w:i/>
          <w:sz w:val="28"/>
          <w:szCs w:val="28"/>
          <w:lang w:eastAsia="ru-RU" w:bidi="ru-RU"/>
        </w:rPr>
        <w:t>Глазьев С.Ю.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 xml:space="preserve"> </w:t>
      </w:r>
      <w:r w:rsidRPr="001420C3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 xml:space="preserve">Перспективы Единого экономического пространства и Евразийского союза/ 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 xml:space="preserve">[Электронный ресурс] </w:t>
      </w:r>
      <w:r w:rsidRPr="001420C3">
        <w:rPr>
          <w:rFonts w:ascii="Times New Roman" w:eastAsia="Georgia" w:hAnsi="Times New Roman" w:cs="Times New Roman"/>
          <w:sz w:val="28"/>
          <w:szCs w:val="28"/>
          <w:lang w:val="en-US" w:eastAsia="ru-RU" w:bidi="ru-RU"/>
        </w:rPr>
        <w:t>URL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 xml:space="preserve">: </w:t>
      </w:r>
      <w:r w:rsidRPr="001420C3">
        <w:rPr>
          <w:rFonts w:ascii="Times New Roman" w:eastAsia="Georgia" w:hAnsi="Times New Roman" w:cs="Times New Roman"/>
          <w:sz w:val="28"/>
          <w:szCs w:val="28"/>
          <w:lang w:val="en-US" w:eastAsia="ru-RU" w:bidi="ru-RU"/>
        </w:rPr>
        <w:t>http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>://</w:t>
      </w:r>
      <w:r w:rsidRPr="001420C3">
        <w:rPr>
          <w:rFonts w:ascii="Times New Roman" w:eastAsia="Georgia" w:hAnsi="Times New Roman" w:cs="Times New Roman"/>
          <w:sz w:val="28"/>
          <w:szCs w:val="28"/>
          <w:shd w:val="clear" w:color="auto" w:fill="FFFFFF"/>
          <w:lang w:eastAsia="ru-RU" w:bidi="ru-RU"/>
        </w:rPr>
        <w:t>www.dynacon.ru/content/articles/2530/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>2017 г. (дата обращения09.10.2017)</w:t>
      </w:r>
    </w:p>
    <w:p w:rsidR="001420C3" w:rsidRPr="001420C3" w:rsidRDefault="001420C3" w:rsidP="001420C3">
      <w:pPr>
        <w:numPr>
          <w:ilvl w:val="0"/>
          <w:numId w:val="1"/>
        </w:numPr>
        <w:shd w:val="clear" w:color="auto" w:fill="FFFFFF"/>
        <w:tabs>
          <w:tab w:val="left" w:pos="284"/>
        </w:tabs>
        <w:autoSpaceDN w:val="0"/>
        <w:spacing w:before="100" w:beforeAutospacing="1" w:after="100" w:afterAutospacing="1" w:line="360" w:lineRule="auto"/>
        <w:ind w:right="283"/>
        <w:contextualSpacing/>
        <w:jc w:val="both"/>
        <w:textAlignment w:val="baseline"/>
        <w:rPr>
          <w:rFonts w:ascii="Times New Roman" w:eastAsia="Georgia" w:hAnsi="Times New Roman" w:cs="Times New Roman"/>
          <w:sz w:val="28"/>
          <w:szCs w:val="28"/>
          <w:lang w:eastAsia="ru-RU" w:bidi="ru-RU"/>
        </w:rPr>
      </w:pP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 xml:space="preserve">Отчет Всемирного Банка за 2010 г. Рост сферы услуг. – С. 31 [Электронный ресурс]. – Режим </w:t>
      </w:r>
      <w:r w:rsidRPr="001420C3">
        <w:rPr>
          <w:rFonts w:ascii="Times New Roman" w:eastAsia="Georgia" w:hAnsi="Times New Roman" w:cs="Times New Roman"/>
          <w:sz w:val="28"/>
          <w:szCs w:val="28"/>
          <w:lang w:eastAsia="ru-RU" w:bidi="ru-RU"/>
        </w:rPr>
        <w:lastRenderedPageBreak/>
        <w:t xml:space="preserve">доступа: http://www.worldbank.org/depweb/beyond/wrru/wnr_09.pdf (дата обращения09.06.2017).  </w:t>
      </w:r>
    </w:p>
    <w:p w:rsidR="001420C3" w:rsidRPr="001420C3" w:rsidRDefault="001420C3" w:rsidP="001420C3">
      <w:pPr>
        <w:numPr>
          <w:ilvl w:val="0"/>
          <w:numId w:val="1"/>
        </w:numPr>
        <w:autoSpaceDN w:val="0"/>
        <w:spacing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Цуканова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О.А., </w:t>
      </w:r>
      <w:proofErr w:type="spellStart"/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Шашкова</w:t>
      </w:r>
      <w:proofErr w:type="spellEnd"/>
      <w:r w:rsidRPr="001420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Е.В. Особенности коммерциализации научно-технической продукции в России // Современные проблемы науки и образования. – 2013. – № 2.</w:t>
      </w:r>
    </w:p>
    <w:p w:rsidR="00C560AF" w:rsidRDefault="00C560AF">
      <w:bookmarkStart w:id="0" w:name="_GoBack"/>
      <w:bookmarkEnd w:id="0"/>
    </w:p>
    <w:sectPr w:rsidR="00C5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yrvetica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1A"/>
    <w:multiLevelType w:val="hybridMultilevel"/>
    <w:tmpl w:val="C8060F48"/>
    <w:lvl w:ilvl="0" w:tplc="96D011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0C"/>
    <w:rsid w:val="001420C3"/>
    <w:rsid w:val="00C560AF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2019-06-08T19:37:00Z</dcterms:created>
  <dcterms:modified xsi:type="dcterms:W3CDTF">2019-06-08T19:37:00Z</dcterms:modified>
</cp:coreProperties>
</file>