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49" w:rsidRPr="00380E49" w:rsidRDefault="00380E49" w:rsidP="00380E49">
      <w:pPr>
        <w:shd w:val="clear" w:color="auto" w:fill="FFFFFF"/>
        <w:spacing w:before="105" w:after="105" w:line="240" w:lineRule="auto"/>
        <w:jc w:val="center"/>
        <w:rPr>
          <w:rFonts w:ascii="Times" w:eastAsia="Calibri" w:hAnsi="Times" w:cs="Times New Roman"/>
          <w:bCs/>
          <w:sz w:val="28"/>
          <w:szCs w:val="28"/>
          <w:lang w:eastAsia="ru-RU"/>
        </w:rPr>
      </w:pPr>
      <w:r w:rsidRPr="00380E49">
        <w:rPr>
          <w:rFonts w:ascii="Times" w:eastAsia="Calibri" w:hAnsi="Times" w:cs="Times New Roman"/>
          <w:b/>
          <w:bCs/>
          <w:sz w:val="28"/>
          <w:szCs w:val="28"/>
          <w:lang w:eastAsia="ru-RU"/>
        </w:rPr>
        <w:t xml:space="preserve">Тезисы </w:t>
      </w:r>
    </w:p>
    <w:p w:rsidR="00380E49" w:rsidRPr="00380E49" w:rsidRDefault="00380E49" w:rsidP="00380E49">
      <w:pPr>
        <w:shd w:val="clear" w:color="auto" w:fill="FFFFFF"/>
        <w:spacing w:before="105" w:after="105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80E49">
        <w:rPr>
          <w:rFonts w:ascii="Times" w:eastAsia="Calibri" w:hAnsi="Times" w:cs="Times New Roman"/>
          <w:b/>
          <w:bCs/>
          <w:sz w:val="28"/>
          <w:szCs w:val="28"/>
          <w:lang w:eastAsia="ru-RU"/>
        </w:rPr>
        <w:t xml:space="preserve">для участия в </w:t>
      </w:r>
      <w:r w:rsidRPr="00380E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VIII </w:t>
      </w:r>
      <w:r w:rsidRPr="00380E49">
        <w:rPr>
          <w:rFonts w:ascii="Times New Roman" w:eastAsia="Calibri" w:hAnsi="Times New Roman" w:cs="Charcoal CY"/>
          <w:sz w:val="28"/>
          <w:szCs w:val="28"/>
          <w:lang w:eastAsia="ru-RU"/>
        </w:rPr>
        <w:t>Казанском</w:t>
      </w:r>
      <w:r w:rsidRPr="00380E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80E49">
        <w:rPr>
          <w:rFonts w:ascii="Times New Roman" w:eastAsia="Calibri" w:hAnsi="Times New Roman" w:cs="Charcoal CY"/>
          <w:sz w:val="28"/>
          <w:szCs w:val="28"/>
          <w:lang w:eastAsia="ru-RU"/>
        </w:rPr>
        <w:t>Евразийском</w:t>
      </w:r>
      <w:r w:rsidRPr="00380E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80E49">
        <w:rPr>
          <w:rFonts w:ascii="Times New Roman" w:eastAsia="Calibri" w:hAnsi="Times New Roman" w:cs="Charcoal CY"/>
          <w:sz w:val="28"/>
          <w:szCs w:val="28"/>
          <w:lang w:eastAsia="ru-RU"/>
        </w:rPr>
        <w:t>научно</w:t>
      </w:r>
      <w:r w:rsidRPr="00380E4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380E49">
        <w:rPr>
          <w:rFonts w:ascii="Times New Roman" w:eastAsia="Calibri" w:hAnsi="Times New Roman" w:cs="Charcoal CY"/>
          <w:sz w:val="28"/>
          <w:szCs w:val="28"/>
          <w:lang w:eastAsia="ru-RU"/>
        </w:rPr>
        <w:t>практическом</w:t>
      </w:r>
      <w:r w:rsidRPr="00380E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80E49">
        <w:rPr>
          <w:rFonts w:ascii="Times New Roman" w:eastAsia="Calibri" w:hAnsi="Times New Roman" w:cs="Charcoal CY"/>
          <w:sz w:val="28"/>
          <w:szCs w:val="28"/>
          <w:lang w:eastAsia="ru-RU"/>
        </w:rPr>
        <w:t>форуме</w:t>
      </w:r>
    </w:p>
    <w:p w:rsidR="00380E49" w:rsidRPr="00380E49" w:rsidRDefault="00380E49" w:rsidP="00380E49">
      <w:pPr>
        <w:spacing w:after="150" w:line="306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0E4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80E49">
        <w:rPr>
          <w:rFonts w:ascii="Times New Roman" w:eastAsia="Calibri" w:hAnsi="Times New Roman" w:cs="Charcoal CY"/>
          <w:sz w:val="28"/>
          <w:szCs w:val="28"/>
          <w:lang w:eastAsia="ru-RU"/>
        </w:rPr>
        <w:t>ИНТЕГРАЦИОННЫЙ</w:t>
      </w:r>
      <w:r w:rsidRPr="00380E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80E49">
        <w:rPr>
          <w:rFonts w:ascii="Times New Roman" w:eastAsia="Calibri" w:hAnsi="Times New Roman" w:cs="Charcoal CY"/>
          <w:sz w:val="28"/>
          <w:szCs w:val="28"/>
          <w:lang w:eastAsia="ru-RU"/>
        </w:rPr>
        <w:t>И</w:t>
      </w:r>
      <w:r w:rsidRPr="00380E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80E49">
        <w:rPr>
          <w:rFonts w:ascii="Times New Roman" w:eastAsia="Calibri" w:hAnsi="Times New Roman" w:cs="Charcoal CY"/>
          <w:sz w:val="28"/>
          <w:szCs w:val="28"/>
          <w:lang w:eastAsia="ru-RU"/>
        </w:rPr>
        <w:t>МОДЕРНИЗАЦИОННЫЙ</w:t>
      </w:r>
      <w:r w:rsidRPr="00380E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80E49">
        <w:rPr>
          <w:rFonts w:ascii="Times New Roman" w:eastAsia="Calibri" w:hAnsi="Times New Roman" w:cs="Charcoal CY"/>
          <w:sz w:val="28"/>
          <w:szCs w:val="28"/>
          <w:lang w:eastAsia="ru-RU"/>
        </w:rPr>
        <w:t>ПОТЕНЦИАЛ</w:t>
      </w:r>
      <w:r w:rsidRPr="00380E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80E49">
        <w:rPr>
          <w:rFonts w:ascii="Times New Roman" w:eastAsia="Calibri" w:hAnsi="Times New Roman" w:cs="Charcoal CY"/>
          <w:sz w:val="28"/>
          <w:szCs w:val="28"/>
          <w:lang w:eastAsia="ru-RU"/>
        </w:rPr>
        <w:t>ЕВРАЗИИ</w:t>
      </w:r>
      <w:r w:rsidRPr="00380E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380E49">
        <w:rPr>
          <w:rFonts w:ascii="Times New Roman" w:eastAsia="Calibri" w:hAnsi="Times New Roman" w:cs="Charcoal CY"/>
          <w:sz w:val="28"/>
          <w:szCs w:val="28"/>
          <w:lang w:eastAsia="ru-RU"/>
        </w:rPr>
        <w:t>СОСТОЯНИЕ</w:t>
      </w:r>
      <w:r w:rsidRPr="00380E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80E49">
        <w:rPr>
          <w:rFonts w:ascii="Times New Roman" w:eastAsia="Calibri" w:hAnsi="Times New Roman" w:cs="Charcoal CY"/>
          <w:sz w:val="28"/>
          <w:szCs w:val="28"/>
          <w:lang w:eastAsia="ru-RU"/>
        </w:rPr>
        <w:t>ПРОЕКТЫ</w:t>
      </w:r>
      <w:r w:rsidRPr="00380E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80E49">
        <w:rPr>
          <w:rFonts w:ascii="Times New Roman" w:eastAsia="Calibri" w:hAnsi="Times New Roman" w:cs="Charcoal CY"/>
          <w:sz w:val="28"/>
          <w:szCs w:val="28"/>
          <w:lang w:eastAsia="ru-RU"/>
        </w:rPr>
        <w:t>И</w:t>
      </w:r>
      <w:r w:rsidRPr="00380E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80E49">
        <w:rPr>
          <w:rFonts w:ascii="Times New Roman" w:eastAsia="Calibri" w:hAnsi="Times New Roman" w:cs="Charcoal CY"/>
          <w:sz w:val="28"/>
          <w:szCs w:val="28"/>
          <w:lang w:eastAsia="ru-RU"/>
        </w:rPr>
        <w:t>ФОРМАТЫ</w:t>
      </w:r>
      <w:r w:rsidRPr="00380E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80E49">
        <w:rPr>
          <w:rFonts w:ascii="Times New Roman" w:eastAsia="Calibri" w:hAnsi="Times New Roman" w:cs="Charcoal CY"/>
          <w:sz w:val="28"/>
          <w:szCs w:val="28"/>
          <w:lang w:eastAsia="ru-RU"/>
        </w:rPr>
        <w:t>РЕАЛИЗАЦИИ</w:t>
      </w:r>
      <w:r w:rsidRPr="00380E4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380E49" w:rsidRPr="00380E49" w:rsidRDefault="00380E49" w:rsidP="00380E49">
      <w:pPr>
        <w:shd w:val="clear" w:color="auto" w:fill="FFFFFF"/>
        <w:spacing w:before="105" w:after="105" w:line="240" w:lineRule="auto"/>
        <w:jc w:val="both"/>
        <w:rPr>
          <w:rFonts w:ascii="Times" w:eastAsia="Calibri" w:hAnsi="Times" w:cs="Times New Roman"/>
          <w:b/>
          <w:bCs/>
          <w:sz w:val="20"/>
          <w:szCs w:val="20"/>
          <w:lang w:eastAsia="ru-RU"/>
        </w:rPr>
      </w:pPr>
    </w:p>
    <w:p w:rsidR="00380E49" w:rsidRPr="00380E49" w:rsidRDefault="00380E49" w:rsidP="00380E49">
      <w:pPr>
        <w:shd w:val="clear" w:color="auto" w:fill="FFFFFF"/>
        <w:spacing w:before="105" w:after="105" w:line="360" w:lineRule="auto"/>
        <w:jc w:val="center"/>
        <w:rPr>
          <w:rFonts w:ascii="Times" w:eastAsia="Calibri" w:hAnsi="Times" w:cs="Times New Roman"/>
          <w:b/>
          <w:bCs/>
          <w:sz w:val="28"/>
          <w:szCs w:val="28"/>
          <w:lang w:eastAsia="ru-RU"/>
        </w:rPr>
      </w:pPr>
      <w:r w:rsidRPr="00380E49">
        <w:rPr>
          <w:rFonts w:ascii="Times" w:eastAsia="Calibri" w:hAnsi="Times" w:cs="Times New Roman"/>
          <w:b/>
          <w:bCs/>
          <w:sz w:val="28"/>
          <w:szCs w:val="28"/>
          <w:lang w:eastAsia="ru-RU"/>
        </w:rPr>
        <w:t xml:space="preserve">Взаимосвязь политико-экономического и институционального подходов  в </w:t>
      </w:r>
      <w:proofErr w:type="spellStart"/>
      <w:r w:rsidRPr="00380E49">
        <w:rPr>
          <w:rFonts w:ascii="Times" w:eastAsia="Calibri" w:hAnsi="Times" w:cs="Times New Roman"/>
          <w:b/>
          <w:bCs/>
          <w:sz w:val="28"/>
          <w:szCs w:val="28"/>
          <w:lang w:eastAsia="ru-RU"/>
        </w:rPr>
        <w:t>развитиии</w:t>
      </w:r>
      <w:proofErr w:type="spellEnd"/>
      <w:r w:rsidRPr="00380E49">
        <w:rPr>
          <w:rFonts w:ascii="Times" w:eastAsia="Calibri" w:hAnsi="Times" w:cs="Times New Roman"/>
          <w:b/>
          <w:bCs/>
          <w:sz w:val="28"/>
          <w:szCs w:val="28"/>
          <w:lang w:eastAsia="ru-RU"/>
        </w:rPr>
        <w:t xml:space="preserve"> образования и его влиянии на экономику региона.</w:t>
      </w:r>
    </w:p>
    <w:p w:rsidR="00380E49" w:rsidRPr="00380E49" w:rsidRDefault="00380E49" w:rsidP="00380E49">
      <w:pPr>
        <w:shd w:val="clear" w:color="auto" w:fill="FFFFFF"/>
        <w:spacing w:before="105" w:after="105" w:line="360" w:lineRule="auto"/>
        <w:jc w:val="center"/>
        <w:rPr>
          <w:rFonts w:ascii="Times" w:eastAsia="Calibri" w:hAnsi="Times" w:cs="Times New Roman"/>
          <w:b/>
          <w:bCs/>
          <w:sz w:val="28"/>
          <w:szCs w:val="28"/>
          <w:lang w:eastAsia="ru-RU"/>
        </w:rPr>
      </w:pPr>
      <w:proofErr w:type="spellStart"/>
      <w:r w:rsidRPr="00380E49">
        <w:rPr>
          <w:rFonts w:ascii="Times" w:eastAsia="Calibri" w:hAnsi="Times" w:cs="Times New Roman"/>
          <w:b/>
          <w:bCs/>
          <w:sz w:val="28"/>
          <w:szCs w:val="28"/>
          <w:lang w:eastAsia="ru-RU"/>
        </w:rPr>
        <w:t>Вахитова</w:t>
      </w:r>
      <w:proofErr w:type="spellEnd"/>
      <w:r w:rsidRPr="00380E49">
        <w:rPr>
          <w:rFonts w:ascii="Times" w:eastAsia="Calibri" w:hAnsi="Times" w:cs="Times New Roman"/>
          <w:b/>
          <w:bCs/>
          <w:sz w:val="28"/>
          <w:szCs w:val="28"/>
          <w:lang w:eastAsia="ru-RU"/>
        </w:rPr>
        <w:t xml:space="preserve"> Т.М., </w:t>
      </w:r>
      <w:proofErr w:type="spellStart"/>
      <w:r w:rsidRPr="00380E49">
        <w:rPr>
          <w:rFonts w:ascii="Times" w:eastAsia="Calibri" w:hAnsi="Times" w:cs="Times New Roman"/>
          <w:b/>
          <w:bCs/>
          <w:sz w:val="28"/>
          <w:szCs w:val="28"/>
          <w:lang w:eastAsia="ru-RU"/>
        </w:rPr>
        <w:t>Гаделшина</w:t>
      </w:r>
      <w:proofErr w:type="spellEnd"/>
      <w:r w:rsidRPr="00380E49">
        <w:rPr>
          <w:rFonts w:ascii="Times" w:eastAsia="Calibri" w:hAnsi="Times" w:cs="Times New Roman"/>
          <w:b/>
          <w:bCs/>
          <w:sz w:val="28"/>
          <w:szCs w:val="28"/>
          <w:lang w:eastAsia="ru-RU"/>
        </w:rPr>
        <w:t xml:space="preserve"> Л.А.</w:t>
      </w:r>
    </w:p>
    <w:p w:rsidR="00380E49" w:rsidRPr="00380E49" w:rsidRDefault="00380E49" w:rsidP="00380E49">
      <w:pPr>
        <w:shd w:val="clear" w:color="auto" w:fill="FFFFFF"/>
        <w:spacing w:before="105" w:after="105" w:line="360" w:lineRule="auto"/>
        <w:jc w:val="center"/>
        <w:rPr>
          <w:rFonts w:ascii="Times" w:eastAsia="Calibri" w:hAnsi="Times" w:cs="Times New Roman"/>
          <w:b/>
          <w:bCs/>
          <w:sz w:val="28"/>
          <w:szCs w:val="28"/>
          <w:lang w:eastAsia="ru-RU"/>
        </w:rPr>
      </w:pPr>
      <w:r w:rsidRPr="00380E49">
        <w:rPr>
          <w:rFonts w:ascii="Times" w:eastAsia="Calibri" w:hAnsi="Times" w:cs="Times New Roman"/>
          <w:b/>
          <w:bCs/>
          <w:sz w:val="28"/>
          <w:szCs w:val="28"/>
          <w:lang w:eastAsia="ru-RU"/>
        </w:rPr>
        <w:t>Казанский (Приволжский</w:t>
      </w:r>
      <w:proofErr w:type="gramStart"/>
      <w:r w:rsidRPr="00380E49">
        <w:rPr>
          <w:rFonts w:ascii="Times" w:eastAsia="Calibri" w:hAnsi="Times" w:cs="Times New Roman"/>
          <w:b/>
          <w:bCs/>
          <w:sz w:val="28"/>
          <w:szCs w:val="28"/>
          <w:lang w:eastAsia="ru-RU"/>
        </w:rPr>
        <w:t xml:space="preserve"> )</w:t>
      </w:r>
      <w:proofErr w:type="gramEnd"/>
      <w:r w:rsidRPr="00380E49">
        <w:rPr>
          <w:rFonts w:ascii="Times" w:eastAsia="Calibri" w:hAnsi="Times" w:cs="Times New Roman"/>
          <w:b/>
          <w:bCs/>
          <w:sz w:val="28"/>
          <w:szCs w:val="28"/>
          <w:lang w:eastAsia="ru-RU"/>
        </w:rPr>
        <w:t xml:space="preserve"> федеральный университет</w:t>
      </w:r>
    </w:p>
    <w:p w:rsidR="00380E49" w:rsidRPr="00380E49" w:rsidRDefault="00380E49" w:rsidP="00380E49">
      <w:pPr>
        <w:numPr>
          <w:ilvl w:val="0"/>
          <w:numId w:val="1"/>
        </w:numPr>
        <w:spacing w:after="0" w:line="360" w:lineRule="auto"/>
        <w:ind w:left="426" w:hanging="43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8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Уровень конкурентоспособности современной инновационной экономики все в большей степени определяется как качеством профессиональных кадров (профессиональные компетентности), так и уровнем их социализации и коммуникабельности  (социальные компетентности). </w:t>
      </w:r>
    </w:p>
    <w:p w:rsidR="00380E49" w:rsidRPr="00380E49" w:rsidRDefault="00380E49" w:rsidP="00380E49">
      <w:pPr>
        <w:numPr>
          <w:ilvl w:val="0"/>
          <w:numId w:val="1"/>
        </w:numPr>
        <w:spacing w:after="0" w:line="360" w:lineRule="auto"/>
        <w:ind w:left="426" w:hanging="4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Перед экономической наукой ставятся задачи в части обоснования организационно-экономического обеспечения механизма формирования профессиональных и социальных компетентностей кадров высшей квалификации для экономики. </w:t>
      </w:r>
    </w:p>
    <w:p w:rsidR="00380E49" w:rsidRPr="00380E49" w:rsidRDefault="00380E49" w:rsidP="00380E49">
      <w:pPr>
        <w:numPr>
          <w:ilvl w:val="0"/>
          <w:numId w:val="1"/>
        </w:numPr>
        <w:spacing w:after="0" w:line="360" w:lineRule="auto"/>
        <w:ind w:left="426" w:hanging="4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При этом наряду с </w:t>
      </w:r>
      <w:proofErr w:type="gramStart"/>
      <w:r w:rsidRPr="0038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общенациональными</w:t>
      </w:r>
      <w:proofErr w:type="gramEnd"/>
      <w:r w:rsidRPr="0038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факторам  во внимание принимаются факторы регионального характера, рассмотренные на </w:t>
      </w:r>
      <w:bookmarkStart w:id="0" w:name="_GoBack"/>
      <w:r w:rsidRPr="0038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конкретном примере региона – Республики Татарстан </w:t>
      </w:r>
    </w:p>
    <w:bookmarkEnd w:id="0"/>
    <w:p w:rsidR="00380E49" w:rsidRPr="00380E49" w:rsidRDefault="00380E49" w:rsidP="00380E49">
      <w:pPr>
        <w:numPr>
          <w:ilvl w:val="0"/>
          <w:numId w:val="1"/>
        </w:numPr>
        <w:shd w:val="clear" w:color="auto" w:fill="FFFFFF"/>
        <w:spacing w:before="105" w:after="105" w:line="360" w:lineRule="auto"/>
        <w:ind w:left="426" w:hanging="43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</w:pPr>
      <w:r w:rsidRPr="0038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Важно рассмотреть взаимовлияние  на характер развитии хозяйствующих субъектов нарастания процессов глобализации, с одной стороны, и процессов регионализации, с другой стороны, в контексте социализации рыночной экономики, в том числе</w:t>
      </w:r>
      <w:proofErr w:type="gramStart"/>
      <w:r w:rsidRPr="0038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38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через взаимодействие вузов, бизнеса,  органов управления всех уровней, формирующих перспективные потребности социально-экономического развития. </w:t>
      </w:r>
    </w:p>
    <w:p w:rsidR="001038AF" w:rsidRDefault="001038AF"/>
    <w:sectPr w:rsidR="0010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1907"/>
    <w:multiLevelType w:val="hybridMultilevel"/>
    <w:tmpl w:val="4EB84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CB"/>
    <w:rsid w:val="001038AF"/>
    <w:rsid w:val="00365BCB"/>
    <w:rsid w:val="0038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2019-06-06T23:32:00Z</dcterms:created>
  <dcterms:modified xsi:type="dcterms:W3CDTF">2019-06-06T23:33:00Z</dcterms:modified>
</cp:coreProperties>
</file>